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DA2B7" w14:textId="77777777" w:rsidR="00AE3C65" w:rsidRPr="00966B16" w:rsidRDefault="00AE3C65" w:rsidP="00D32BED">
      <w:pPr>
        <w:widowControl w:val="0"/>
        <w:autoSpaceDE w:val="0"/>
        <w:autoSpaceDN w:val="0"/>
        <w:adjustRightInd w:val="0"/>
        <w:ind w:right="-6"/>
        <w:jc w:val="right"/>
        <w:rPr>
          <w:rFonts w:ascii="Times New Roman" w:hAnsi="Times New Roman"/>
          <w:lang w:val="et-EE"/>
        </w:rPr>
      </w:pPr>
    </w:p>
    <w:p w14:paraId="67183260" w14:textId="77777777" w:rsidR="00801530" w:rsidRPr="00801530" w:rsidRDefault="00801530" w:rsidP="00D32BED">
      <w:pPr>
        <w:widowControl w:val="0"/>
        <w:autoSpaceDE w:val="0"/>
        <w:autoSpaceDN w:val="0"/>
        <w:adjustRightInd w:val="0"/>
        <w:ind w:right="-6"/>
        <w:rPr>
          <w:rFonts w:ascii="Times New Roman" w:hAnsi="Times New Roman"/>
          <w:b/>
          <w:bCs/>
          <w:lang w:val="et-EE"/>
        </w:rPr>
      </w:pPr>
    </w:p>
    <w:p w14:paraId="26517C4C" w14:textId="11A87518" w:rsidR="00AE3C65" w:rsidRDefault="009C3ED6" w:rsidP="00D32BED">
      <w:pPr>
        <w:widowControl w:val="0"/>
        <w:autoSpaceDE w:val="0"/>
        <w:autoSpaceDN w:val="0"/>
        <w:adjustRightInd w:val="0"/>
        <w:ind w:right="-6"/>
        <w:jc w:val="center"/>
        <w:rPr>
          <w:rFonts w:ascii="Times New Roman" w:hAnsi="Times New Roman"/>
          <w:b/>
          <w:bCs/>
          <w:sz w:val="32"/>
          <w:szCs w:val="32"/>
          <w:lang w:val="et-EE"/>
        </w:rPr>
      </w:pPr>
      <w:r>
        <w:rPr>
          <w:rFonts w:ascii="Times New Roman" w:hAnsi="Times New Roman"/>
          <w:b/>
          <w:bCs/>
          <w:sz w:val="32"/>
          <w:szCs w:val="32"/>
          <w:lang w:val="et-EE"/>
        </w:rPr>
        <w:t>K</w:t>
      </w:r>
      <w:r w:rsidR="009A0502" w:rsidRPr="009A0502">
        <w:rPr>
          <w:rFonts w:ascii="Times New Roman" w:hAnsi="Times New Roman"/>
          <w:b/>
          <w:bCs/>
          <w:sz w:val="32"/>
          <w:szCs w:val="32"/>
          <w:lang w:val="et-EE"/>
        </w:rPr>
        <w:t>ogumispensionide seaduse</w:t>
      </w:r>
      <w:r w:rsidR="00A74A3E">
        <w:rPr>
          <w:rFonts w:ascii="Times New Roman" w:hAnsi="Times New Roman"/>
          <w:b/>
          <w:bCs/>
          <w:sz w:val="32"/>
          <w:szCs w:val="32"/>
          <w:lang w:val="et-EE"/>
        </w:rPr>
        <w:t xml:space="preserve"> ja </w:t>
      </w:r>
      <w:r w:rsidR="006F3AC2">
        <w:rPr>
          <w:rFonts w:ascii="Times New Roman" w:hAnsi="Times New Roman"/>
          <w:b/>
          <w:bCs/>
          <w:sz w:val="32"/>
          <w:szCs w:val="32"/>
          <w:lang w:val="et-EE"/>
        </w:rPr>
        <w:t xml:space="preserve">teiste </w:t>
      </w:r>
      <w:r w:rsidR="00A74A3E">
        <w:rPr>
          <w:rFonts w:ascii="Times New Roman" w:hAnsi="Times New Roman"/>
          <w:b/>
          <w:bCs/>
          <w:sz w:val="32"/>
          <w:szCs w:val="32"/>
          <w:lang w:val="et-EE"/>
        </w:rPr>
        <w:t>seadus</w:t>
      </w:r>
      <w:r w:rsidR="006F3AC2">
        <w:rPr>
          <w:rFonts w:ascii="Times New Roman" w:hAnsi="Times New Roman"/>
          <w:b/>
          <w:bCs/>
          <w:sz w:val="32"/>
          <w:szCs w:val="32"/>
          <w:lang w:val="et-EE"/>
        </w:rPr>
        <w:t>t</w:t>
      </w:r>
      <w:r w:rsidR="00A74A3E">
        <w:rPr>
          <w:rFonts w:ascii="Times New Roman" w:hAnsi="Times New Roman"/>
          <w:b/>
          <w:bCs/>
          <w:sz w:val="32"/>
          <w:szCs w:val="32"/>
          <w:lang w:val="et-EE"/>
        </w:rPr>
        <w:t>e</w:t>
      </w:r>
      <w:r w:rsidR="00C360B5">
        <w:rPr>
          <w:rFonts w:ascii="Times New Roman" w:hAnsi="Times New Roman"/>
          <w:b/>
          <w:bCs/>
          <w:sz w:val="32"/>
          <w:szCs w:val="32"/>
          <w:lang w:val="et-EE"/>
        </w:rPr>
        <w:t xml:space="preserve"> </w:t>
      </w:r>
      <w:r w:rsidR="009A0502" w:rsidRPr="009A0502">
        <w:rPr>
          <w:rFonts w:ascii="Times New Roman" w:hAnsi="Times New Roman"/>
          <w:b/>
          <w:bCs/>
          <w:sz w:val="32"/>
          <w:szCs w:val="32"/>
          <w:lang w:val="et-EE"/>
        </w:rPr>
        <w:t xml:space="preserve">muutmise </w:t>
      </w:r>
      <w:r w:rsidR="00C914FB">
        <w:rPr>
          <w:rFonts w:ascii="Times New Roman" w:hAnsi="Times New Roman"/>
          <w:b/>
          <w:bCs/>
          <w:sz w:val="32"/>
          <w:szCs w:val="32"/>
          <w:lang w:val="et-EE"/>
        </w:rPr>
        <w:t>s</w:t>
      </w:r>
      <w:r w:rsidR="009A0502" w:rsidRPr="009A0502">
        <w:rPr>
          <w:rFonts w:ascii="Times New Roman" w:hAnsi="Times New Roman"/>
          <w:b/>
          <w:bCs/>
          <w:sz w:val="32"/>
          <w:szCs w:val="32"/>
          <w:lang w:val="et-EE"/>
        </w:rPr>
        <w:t>eadus</w:t>
      </w:r>
      <w:r w:rsidR="00CF18C0">
        <w:rPr>
          <w:rFonts w:ascii="Times New Roman" w:hAnsi="Times New Roman"/>
          <w:b/>
          <w:bCs/>
          <w:sz w:val="32"/>
          <w:szCs w:val="32"/>
          <w:lang w:val="et-EE"/>
        </w:rPr>
        <w:t>e</w:t>
      </w:r>
      <w:r w:rsidR="00601702">
        <w:rPr>
          <w:rFonts w:ascii="Times New Roman" w:hAnsi="Times New Roman"/>
          <w:b/>
          <w:bCs/>
          <w:sz w:val="32"/>
          <w:szCs w:val="32"/>
          <w:lang w:val="et-EE"/>
        </w:rPr>
        <w:t xml:space="preserve"> </w:t>
      </w:r>
      <w:r w:rsidR="00AE3C65" w:rsidRPr="008D385C">
        <w:rPr>
          <w:rFonts w:ascii="Times New Roman" w:hAnsi="Times New Roman"/>
          <w:b/>
          <w:bCs/>
          <w:sz w:val="32"/>
          <w:szCs w:val="32"/>
          <w:lang w:val="et-EE"/>
        </w:rPr>
        <w:t xml:space="preserve">eelnõu </w:t>
      </w:r>
      <w:r>
        <w:rPr>
          <w:rFonts w:ascii="Times New Roman" w:hAnsi="Times New Roman"/>
          <w:b/>
          <w:bCs/>
          <w:sz w:val="32"/>
          <w:szCs w:val="32"/>
          <w:lang w:val="et-EE"/>
        </w:rPr>
        <w:t>seletuskiri</w:t>
      </w:r>
    </w:p>
    <w:p w14:paraId="1F1A26E9" w14:textId="77777777" w:rsidR="00C914FB" w:rsidRPr="00801530" w:rsidRDefault="00C914FB" w:rsidP="00D32BED">
      <w:pPr>
        <w:widowControl w:val="0"/>
        <w:autoSpaceDE w:val="0"/>
        <w:autoSpaceDN w:val="0"/>
        <w:adjustRightInd w:val="0"/>
        <w:ind w:right="-6"/>
        <w:jc w:val="center"/>
        <w:rPr>
          <w:rFonts w:ascii="Times New Roman" w:hAnsi="Times New Roman"/>
          <w:b/>
          <w:bCs/>
          <w:lang w:val="et-EE"/>
        </w:rPr>
      </w:pPr>
    </w:p>
    <w:p w14:paraId="49536E11" w14:textId="455DF8F3" w:rsidR="00AE3C65" w:rsidRDefault="00AE3C65" w:rsidP="00D32BED">
      <w:pPr>
        <w:widowControl w:val="0"/>
        <w:tabs>
          <w:tab w:val="left" w:pos="440"/>
          <w:tab w:val="right" w:pos="9061"/>
        </w:tabs>
        <w:autoSpaceDE w:val="0"/>
        <w:autoSpaceDN w:val="0"/>
        <w:adjustRightInd w:val="0"/>
        <w:jc w:val="both"/>
        <w:rPr>
          <w:rFonts w:ascii="Times New Roman" w:hAnsi="Times New Roman"/>
          <w:b/>
          <w:bCs/>
          <w:u w:color="0000FF"/>
          <w:lang w:val="et-EE"/>
        </w:rPr>
      </w:pPr>
      <w:r w:rsidRPr="008D385C">
        <w:rPr>
          <w:rFonts w:ascii="Times New Roman" w:hAnsi="Times New Roman"/>
          <w:b/>
          <w:bCs/>
          <w:u w:color="0000FF"/>
          <w:lang w:val="et-EE"/>
        </w:rPr>
        <w:t xml:space="preserve">1. </w:t>
      </w:r>
      <w:r w:rsidR="00966B16" w:rsidRPr="008D385C">
        <w:rPr>
          <w:rFonts w:ascii="Times New Roman" w:hAnsi="Times New Roman"/>
          <w:b/>
          <w:bCs/>
          <w:u w:color="0000FF"/>
          <w:lang w:val="et-EE"/>
        </w:rPr>
        <w:t>Sissejuhatus</w:t>
      </w:r>
    </w:p>
    <w:p w14:paraId="41244C62" w14:textId="77777777" w:rsidR="0055464A" w:rsidRPr="00966B16" w:rsidRDefault="0055464A" w:rsidP="00D32BED">
      <w:pPr>
        <w:widowControl w:val="0"/>
        <w:tabs>
          <w:tab w:val="left" w:pos="440"/>
          <w:tab w:val="right" w:pos="9061"/>
        </w:tabs>
        <w:autoSpaceDE w:val="0"/>
        <w:autoSpaceDN w:val="0"/>
        <w:adjustRightInd w:val="0"/>
        <w:jc w:val="both"/>
        <w:rPr>
          <w:rFonts w:ascii="Times New Roman" w:hAnsi="Times New Roman"/>
          <w:b/>
          <w:bCs/>
          <w:u w:color="0000FF"/>
          <w:lang w:val="et-EE"/>
        </w:rPr>
      </w:pPr>
    </w:p>
    <w:p w14:paraId="20B26F93" w14:textId="77777777" w:rsidR="00AE3C65" w:rsidRPr="00F355B6" w:rsidRDefault="001F1132" w:rsidP="00D32BED">
      <w:pPr>
        <w:widowControl w:val="0"/>
        <w:autoSpaceDE w:val="0"/>
        <w:autoSpaceDN w:val="0"/>
        <w:adjustRightInd w:val="0"/>
        <w:jc w:val="both"/>
        <w:rPr>
          <w:rFonts w:ascii="Times New Roman" w:hAnsi="Times New Roman"/>
          <w:b/>
          <w:bCs/>
          <w:u w:color="0000FF"/>
          <w:lang w:val="et-EE"/>
        </w:rPr>
      </w:pPr>
      <w:r w:rsidRPr="00F355B6">
        <w:rPr>
          <w:rFonts w:ascii="Times New Roman" w:hAnsi="Times New Roman"/>
          <w:b/>
          <w:bCs/>
          <w:u w:color="0000FF"/>
          <w:lang w:val="et-EE"/>
        </w:rPr>
        <w:t xml:space="preserve">1.1. </w:t>
      </w:r>
      <w:r w:rsidR="00AE3C65" w:rsidRPr="00F355B6">
        <w:rPr>
          <w:rFonts w:ascii="Times New Roman" w:hAnsi="Times New Roman"/>
          <w:b/>
          <w:bCs/>
          <w:u w:color="0000FF"/>
          <w:lang w:val="et-EE"/>
        </w:rPr>
        <w:t>Sisukokkuvõte</w:t>
      </w:r>
    </w:p>
    <w:p w14:paraId="0B0B2151" w14:textId="7AF52D5F" w:rsidR="00021C03" w:rsidRDefault="00463FC4" w:rsidP="00D32BED">
      <w:pPr>
        <w:widowControl w:val="0"/>
        <w:tabs>
          <w:tab w:val="left" w:pos="1560"/>
        </w:tabs>
        <w:autoSpaceDE w:val="0"/>
        <w:autoSpaceDN w:val="0"/>
        <w:adjustRightInd w:val="0"/>
        <w:jc w:val="both"/>
        <w:rPr>
          <w:rFonts w:ascii="Times New Roman" w:hAnsi="Times New Roman"/>
          <w:u w:color="0000FF"/>
          <w:lang w:val="et-EE"/>
        </w:rPr>
      </w:pPr>
      <w:r w:rsidRPr="00463FC4">
        <w:rPr>
          <w:rFonts w:ascii="Times New Roman" w:hAnsi="Times New Roman"/>
          <w:u w:color="0000FF"/>
          <w:lang w:val="et-EE"/>
        </w:rPr>
        <w:t>Eelnõu</w:t>
      </w:r>
      <w:r w:rsidR="006F3AC2">
        <w:rPr>
          <w:rFonts w:ascii="Times New Roman" w:hAnsi="Times New Roman"/>
          <w:u w:color="0000FF"/>
          <w:lang w:val="et-EE"/>
        </w:rPr>
        <w:t xml:space="preserve"> </w:t>
      </w:r>
      <w:r w:rsidR="00747A59">
        <w:rPr>
          <w:rFonts w:ascii="Times New Roman" w:hAnsi="Times New Roman"/>
          <w:u w:color="0000FF"/>
          <w:lang w:val="et-EE"/>
        </w:rPr>
        <w:t>puudutab kogumispension</w:t>
      </w:r>
      <w:r w:rsidR="006F3AC2">
        <w:rPr>
          <w:rFonts w:ascii="Times New Roman" w:hAnsi="Times New Roman"/>
          <w:u w:color="0000FF"/>
          <w:lang w:val="et-EE"/>
        </w:rPr>
        <w:t xml:space="preserve">e ja </w:t>
      </w:r>
      <w:r w:rsidR="00747A59">
        <w:rPr>
          <w:rFonts w:ascii="Times New Roman" w:hAnsi="Times New Roman"/>
          <w:u w:color="0000FF"/>
          <w:lang w:val="et-EE"/>
        </w:rPr>
        <w:t>eelnõu eesmärgiks</w:t>
      </w:r>
      <w:r w:rsidR="006F3AC2">
        <w:rPr>
          <w:rFonts w:ascii="Times New Roman" w:hAnsi="Times New Roman"/>
          <w:u w:color="0000FF"/>
          <w:lang w:val="et-EE"/>
        </w:rPr>
        <w:t xml:space="preserve"> on</w:t>
      </w:r>
      <w:r w:rsidR="00747A59">
        <w:rPr>
          <w:rFonts w:ascii="Times New Roman" w:hAnsi="Times New Roman"/>
          <w:u w:color="0000FF"/>
          <w:lang w:val="et-EE"/>
        </w:rPr>
        <w:t xml:space="preserve"> kõrvaldada regulatsioonis</w:t>
      </w:r>
      <w:r w:rsidR="00747A59" w:rsidRPr="00747A59">
        <w:rPr>
          <w:rFonts w:ascii="Times New Roman" w:hAnsi="Times New Roman"/>
          <w:u w:color="0000FF"/>
          <w:lang w:val="et-EE"/>
        </w:rPr>
        <w:t xml:space="preserve"> </w:t>
      </w:r>
      <w:r w:rsidR="00747A59">
        <w:rPr>
          <w:rFonts w:ascii="Times New Roman" w:hAnsi="Times New Roman"/>
          <w:u w:color="0000FF"/>
          <w:lang w:val="et-EE"/>
        </w:rPr>
        <w:t>praktikas esile kerkinud kitsaskohad</w:t>
      </w:r>
      <w:r w:rsidR="006D1FDB">
        <w:rPr>
          <w:rFonts w:ascii="Times New Roman" w:hAnsi="Times New Roman"/>
          <w:u w:color="0000FF"/>
          <w:lang w:val="et-EE"/>
        </w:rPr>
        <w:t>.</w:t>
      </w:r>
      <w:r w:rsidR="00181E84">
        <w:rPr>
          <w:rFonts w:ascii="Times New Roman" w:hAnsi="Times New Roman"/>
          <w:u w:color="0000FF"/>
          <w:lang w:val="et-EE"/>
        </w:rPr>
        <w:t xml:space="preserve"> </w:t>
      </w:r>
      <w:r w:rsidR="00021C03">
        <w:rPr>
          <w:rFonts w:ascii="Times New Roman" w:hAnsi="Times New Roman"/>
          <w:u w:color="0000FF"/>
          <w:lang w:val="et-EE"/>
        </w:rPr>
        <w:t>Eelnõuga:</w:t>
      </w:r>
    </w:p>
    <w:p w14:paraId="44A70591" w14:textId="05F027BC" w:rsidR="00021C03" w:rsidRDefault="00021C03" w:rsidP="00D32BED">
      <w:pPr>
        <w:pStyle w:val="Loendilik"/>
        <w:widowControl w:val="0"/>
        <w:numPr>
          <w:ilvl w:val="0"/>
          <w:numId w:val="10"/>
        </w:numPr>
        <w:tabs>
          <w:tab w:val="left" w:pos="1560"/>
        </w:tabs>
        <w:autoSpaceDE w:val="0"/>
        <w:autoSpaceDN w:val="0"/>
        <w:adjustRightInd w:val="0"/>
        <w:jc w:val="both"/>
        <w:rPr>
          <w:rFonts w:ascii="Times New Roman" w:hAnsi="Times New Roman"/>
          <w:sz w:val="24"/>
          <w:szCs w:val="24"/>
          <w:u w:color="0000FF"/>
        </w:rPr>
      </w:pPr>
      <w:r w:rsidRPr="00D32BED">
        <w:rPr>
          <w:rFonts w:ascii="Times New Roman" w:hAnsi="Times New Roman"/>
          <w:sz w:val="24"/>
          <w:szCs w:val="24"/>
          <w:u w:color="0000FF"/>
        </w:rPr>
        <w:t>t</w:t>
      </w:r>
      <w:r w:rsidR="006D1FDB" w:rsidRPr="00D32BED">
        <w:rPr>
          <w:rFonts w:ascii="Times New Roman" w:hAnsi="Times New Roman"/>
          <w:sz w:val="24"/>
          <w:szCs w:val="24"/>
          <w:u w:color="0000FF"/>
        </w:rPr>
        <w:t>äpsust</w:t>
      </w:r>
      <w:r w:rsidRPr="00D32BED">
        <w:rPr>
          <w:rFonts w:ascii="Times New Roman" w:hAnsi="Times New Roman"/>
          <w:sz w:val="24"/>
          <w:szCs w:val="24"/>
          <w:u w:color="0000FF"/>
        </w:rPr>
        <w:t>atakse pensioni investeerimiskonto sulgemis</w:t>
      </w:r>
      <w:r w:rsidR="00117629">
        <w:rPr>
          <w:rFonts w:ascii="Times New Roman" w:hAnsi="Times New Roman"/>
          <w:sz w:val="24"/>
          <w:szCs w:val="24"/>
          <w:u w:color="0000FF"/>
        </w:rPr>
        <w:t>e regulatsiooni, et oleks üheselt selge, et pärast konto sulgemist laekuv raha peab jõudma kontot kasutanud isikuni, kas läbi tema teise pensioni investeerimiskonto, kohustusliku pensionifondi või pensionilepingu või väljamaksena talle</w:t>
      </w:r>
      <w:r w:rsidRPr="00D32BED">
        <w:rPr>
          <w:rFonts w:ascii="Times New Roman" w:hAnsi="Times New Roman"/>
          <w:sz w:val="24"/>
          <w:szCs w:val="24"/>
          <w:u w:color="0000FF"/>
        </w:rPr>
        <w:t>;</w:t>
      </w:r>
    </w:p>
    <w:p w14:paraId="224EC519" w14:textId="3B75444B" w:rsidR="00117629" w:rsidRPr="0004675A" w:rsidRDefault="00683DF7" w:rsidP="00D32BED">
      <w:pPr>
        <w:pStyle w:val="Loendilik"/>
        <w:widowControl w:val="0"/>
        <w:numPr>
          <w:ilvl w:val="0"/>
          <w:numId w:val="10"/>
        </w:numPr>
        <w:tabs>
          <w:tab w:val="left" w:pos="1560"/>
        </w:tabs>
        <w:autoSpaceDE w:val="0"/>
        <w:autoSpaceDN w:val="0"/>
        <w:adjustRightInd w:val="0"/>
        <w:jc w:val="both"/>
        <w:rPr>
          <w:rFonts w:ascii="Times New Roman" w:hAnsi="Times New Roman"/>
          <w:sz w:val="24"/>
          <w:szCs w:val="24"/>
          <w:u w:color="0000FF"/>
        </w:rPr>
      </w:pPr>
      <w:commentRangeStart w:id="0"/>
      <w:r w:rsidRPr="0004675A">
        <w:rPr>
          <w:rFonts w:ascii="Times New Roman" w:hAnsi="Times New Roman"/>
          <w:sz w:val="24"/>
          <w:szCs w:val="24"/>
          <w:u w:color="0000FF"/>
        </w:rPr>
        <w:t>võimaldatakse n</w:t>
      </w:r>
      <w:r w:rsidR="00CE1825" w:rsidRPr="0004675A">
        <w:rPr>
          <w:rFonts w:ascii="Times New Roman" w:hAnsi="Times New Roman"/>
          <w:sz w:val="24"/>
          <w:szCs w:val="24"/>
          <w:u w:color="0000FF"/>
        </w:rPr>
        <w:t>ö</w:t>
      </w:r>
      <w:r w:rsidRPr="0004675A">
        <w:rPr>
          <w:rFonts w:ascii="Times New Roman" w:hAnsi="Times New Roman"/>
          <w:sz w:val="24"/>
          <w:szCs w:val="24"/>
          <w:u w:color="0000FF"/>
        </w:rPr>
        <w:t xml:space="preserve"> v</w:t>
      </w:r>
      <w:r w:rsidR="00117629" w:rsidRPr="0004675A">
        <w:rPr>
          <w:rFonts w:ascii="Times New Roman" w:hAnsi="Times New Roman"/>
          <w:sz w:val="24"/>
          <w:szCs w:val="24"/>
          <w:u w:color="0000FF"/>
        </w:rPr>
        <w:t>õõrandamiskõlbmatud väärtpaberid pärast pankrotimenetluse, moratooriumi, kriisilahendusmenetluse või muu tagajärgedelt sarnase pädeva haldusorgani</w:t>
      </w:r>
      <w:r w:rsidRPr="0004675A">
        <w:rPr>
          <w:rFonts w:ascii="Times New Roman" w:hAnsi="Times New Roman"/>
          <w:sz w:val="24"/>
          <w:szCs w:val="24"/>
          <w:u w:color="0000FF"/>
        </w:rPr>
        <w:t xml:space="preserve"> otsuse</w:t>
      </w:r>
      <w:r w:rsidR="00117629" w:rsidRPr="0004675A">
        <w:rPr>
          <w:rFonts w:ascii="Times New Roman" w:hAnsi="Times New Roman"/>
          <w:sz w:val="24"/>
          <w:szCs w:val="24"/>
          <w:u w:color="0000FF"/>
        </w:rPr>
        <w:t xml:space="preserve"> või kohtuotsusega algatatud menetluse või režiimi lõppemist</w:t>
      </w:r>
      <w:r w:rsidRPr="0004675A">
        <w:rPr>
          <w:rFonts w:ascii="Times New Roman" w:hAnsi="Times New Roman"/>
          <w:sz w:val="24"/>
          <w:szCs w:val="24"/>
          <w:u w:color="0000FF"/>
        </w:rPr>
        <w:t>, samuti juhul, kui nendega kauplemine on kauplemiskoha poolt lõpetatud,</w:t>
      </w:r>
      <w:r w:rsidR="00117629" w:rsidRPr="0004675A">
        <w:rPr>
          <w:rFonts w:ascii="Times New Roman" w:hAnsi="Times New Roman"/>
          <w:sz w:val="24"/>
          <w:szCs w:val="24"/>
          <w:u w:color="0000FF"/>
        </w:rPr>
        <w:t xml:space="preserve"> pensioni investeerimiskontoga seotud väärtpaberikontolt </w:t>
      </w:r>
      <w:r w:rsidRPr="0004675A">
        <w:rPr>
          <w:rFonts w:ascii="Times New Roman" w:hAnsi="Times New Roman"/>
          <w:sz w:val="24"/>
          <w:szCs w:val="24"/>
          <w:u w:color="0000FF"/>
        </w:rPr>
        <w:t xml:space="preserve">ümber registreerida </w:t>
      </w:r>
      <w:r w:rsidR="00117629" w:rsidRPr="0004675A">
        <w:rPr>
          <w:rFonts w:ascii="Times New Roman" w:hAnsi="Times New Roman"/>
          <w:sz w:val="24"/>
          <w:szCs w:val="24"/>
          <w:u w:color="0000FF"/>
        </w:rPr>
        <w:t>t</w:t>
      </w:r>
      <w:r w:rsidRPr="0004675A">
        <w:rPr>
          <w:rFonts w:ascii="Times New Roman" w:hAnsi="Times New Roman"/>
          <w:sz w:val="24"/>
          <w:szCs w:val="24"/>
          <w:u w:color="0000FF"/>
        </w:rPr>
        <w:t>avalisele</w:t>
      </w:r>
      <w:r w:rsidR="00117629" w:rsidRPr="0004675A">
        <w:rPr>
          <w:rFonts w:ascii="Times New Roman" w:hAnsi="Times New Roman"/>
          <w:sz w:val="24"/>
          <w:szCs w:val="24"/>
          <w:u w:color="0000FF"/>
        </w:rPr>
        <w:t xml:space="preserve"> väärtpaberikontole </w:t>
      </w:r>
      <w:r w:rsidRPr="0004675A">
        <w:rPr>
          <w:rFonts w:ascii="Times New Roman" w:hAnsi="Times New Roman"/>
          <w:sz w:val="24"/>
          <w:szCs w:val="24"/>
          <w:u w:color="0000FF"/>
        </w:rPr>
        <w:t>(</w:t>
      </w:r>
      <w:r w:rsidR="00117629" w:rsidRPr="0004675A">
        <w:rPr>
          <w:rFonts w:ascii="Times New Roman" w:hAnsi="Times New Roman"/>
          <w:sz w:val="24"/>
          <w:szCs w:val="24"/>
          <w:u w:color="0000FF"/>
        </w:rPr>
        <w:t>samas krediidiasutuses</w:t>
      </w:r>
      <w:r w:rsidRPr="0004675A">
        <w:rPr>
          <w:rFonts w:ascii="Times New Roman" w:hAnsi="Times New Roman"/>
          <w:sz w:val="24"/>
          <w:szCs w:val="24"/>
          <w:u w:color="0000FF"/>
        </w:rPr>
        <w:t>)</w:t>
      </w:r>
      <w:r w:rsidR="00117629" w:rsidRPr="0004675A">
        <w:rPr>
          <w:rFonts w:ascii="Times New Roman" w:hAnsi="Times New Roman"/>
          <w:sz w:val="24"/>
          <w:szCs w:val="24"/>
          <w:u w:color="0000FF"/>
        </w:rPr>
        <w:t xml:space="preserve">, kui selliste väärtpaberite võõrandamine ei ole </w:t>
      </w:r>
      <w:r w:rsidRPr="0004675A">
        <w:rPr>
          <w:rFonts w:ascii="Times New Roman" w:hAnsi="Times New Roman"/>
          <w:sz w:val="24"/>
          <w:szCs w:val="24"/>
          <w:u w:color="0000FF"/>
        </w:rPr>
        <w:t>jätkuvalt</w:t>
      </w:r>
      <w:r w:rsidR="00117629" w:rsidRPr="0004675A">
        <w:rPr>
          <w:rFonts w:ascii="Times New Roman" w:hAnsi="Times New Roman"/>
          <w:sz w:val="24"/>
          <w:szCs w:val="24"/>
          <w:u w:color="0000FF"/>
        </w:rPr>
        <w:t xml:space="preserve"> võimalik</w:t>
      </w:r>
      <w:r w:rsidR="00A62956" w:rsidRPr="0004675A">
        <w:rPr>
          <w:rFonts w:ascii="Times New Roman" w:hAnsi="Times New Roman"/>
          <w:sz w:val="24"/>
          <w:szCs w:val="24"/>
          <w:u w:color="0000FF"/>
        </w:rPr>
        <w:t>. See on vajalik selleks, et oleks võimalik pensioni investeerimiskontot sulgeda</w:t>
      </w:r>
      <w:r w:rsidR="00117629" w:rsidRPr="0004675A">
        <w:rPr>
          <w:rFonts w:ascii="Times New Roman" w:hAnsi="Times New Roman"/>
          <w:sz w:val="24"/>
          <w:szCs w:val="24"/>
          <w:u w:color="0000FF"/>
        </w:rPr>
        <w:t>;</w:t>
      </w:r>
      <w:commentRangeEnd w:id="0"/>
      <w:r w:rsidR="00512E54">
        <w:rPr>
          <w:rStyle w:val="Kommentaariviide"/>
          <w:szCs w:val="20"/>
          <w:lang w:val="en-US"/>
        </w:rPr>
        <w:commentReference w:id="0"/>
      </w:r>
    </w:p>
    <w:p w14:paraId="64A645CC" w14:textId="3E376065" w:rsidR="00A62956" w:rsidRPr="00D565F3" w:rsidRDefault="00021C03" w:rsidP="00A62956">
      <w:pPr>
        <w:pStyle w:val="Loendilik"/>
        <w:widowControl w:val="0"/>
        <w:numPr>
          <w:ilvl w:val="0"/>
          <w:numId w:val="10"/>
        </w:numPr>
        <w:tabs>
          <w:tab w:val="left" w:pos="1560"/>
        </w:tabs>
        <w:autoSpaceDE w:val="0"/>
        <w:autoSpaceDN w:val="0"/>
        <w:adjustRightInd w:val="0"/>
        <w:jc w:val="both"/>
        <w:rPr>
          <w:rFonts w:ascii="Times New Roman" w:hAnsi="Times New Roman"/>
          <w:sz w:val="24"/>
          <w:szCs w:val="24"/>
          <w:u w:color="0000FF"/>
        </w:rPr>
      </w:pPr>
      <w:r w:rsidRPr="00D32BED">
        <w:rPr>
          <w:rFonts w:ascii="Times New Roman" w:hAnsi="Times New Roman"/>
          <w:sz w:val="24"/>
          <w:szCs w:val="24"/>
          <w:u w:color="0000FF"/>
        </w:rPr>
        <w:t>muudetakse päritud II samba pensionivara pärija pensionikontole viimise tingimusi, et lisaks praegustele võimalustele saaks pärija soovi korral päritud vara kohe oma pensionifondi või oma pensioni investeerimiskontole lasta kanda, kuhu muidu tema kogumispensioni maksed ka laekuvad</w:t>
      </w:r>
      <w:r w:rsidR="0004675A">
        <w:rPr>
          <w:rFonts w:ascii="Times New Roman" w:hAnsi="Times New Roman"/>
          <w:sz w:val="24"/>
          <w:szCs w:val="24"/>
          <w:u w:color="0000FF"/>
        </w:rPr>
        <w:t>. Ühtlasi lubatakse II samba garantiiperioodiga pensionilepingu soodustatud isikul, kes on II sambaga liitunud, pärast kindlustusvõtja surma talle muidu väljamaksmisele kuuluv summa soodustatud isiku pensionifondi või pensioni investeerimiskontole võtta</w:t>
      </w:r>
      <w:r w:rsidRPr="00D32BED">
        <w:rPr>
          <w:rFonts w:ascii="Times New Roman" w:hAnsi="Times New Roman"/>
          <w:sz w:val="24"/>
          <w:szCs w:val="24"/>
          <w:u w:color="0000FF"/>
        </w:rPr>
        <w:t>;</w:t>
      </w:r>
    </w:p>
    <w:p w14:paraId="20DFFB7B" w14:textId="169C7623" w:rsidR="00BD69F8" w:rsidRPr="00D32BED" w:rsidRDefault="00021C03" w:rsidP="00D32BED">
      <w:pPr>
        <w:pStyle w:val="Loendilik"/>
        <w:widowControl w:val="0"/>
        <w:numPr>
          <w:ilvl w:val="0"/>
          <w:numId w:val="10"/>
        </w:numPr>
        <w:tabs>
          <w:tab w:val="left" w:pos="1560"/>
        </w:tabs>
        <w:autoSpaceDE w:val="0"/>
        <w:autoSpaceDN w:val="0"/>
        <w:adjustRightInd w:val="0"/>
        <w:jc w:val="both"/>
        <w:rPr>
          <w:rFonts w:ascii="Times New Roman" w:hAnsi="Times New Roman"/>
          <w:sz w:val="24"/>
          <w:szCs w:val="24"/>
          <w:u w:color="0000FF"/>
        </w:rPr>
      </w:pPr>
      <w:r w:rsidRPr="00D32BED">
        <w:rPr>
          <w:rFonts w:ascii="Times New Roman" w:hAnsi="Times New Roman"/>
          <w:sz w:val="24"/>
          <w:szCs w:val="24"/>
          <w:u w:color="0000FF"/>
        </w:rPr>
        <w:t>võimaldatakse III sambas osalist vahetamist ka täiendava kogumispensioni kindlustuslepingute puhul, nagu see on seni olnud võimalik vabatahtliku pensionifondi osakute vahetamise puhul</w:t>
      </w:r>
      <w:r w:rsidR="00117629">
        <w:rPr>
          <w:rFonts w:ascii="Times New Roman" w:hAnsi="Times New Roman"/>
          <w:sz w:val="24"/>
          <w:szCs w:val="24"/>
          <w:u w:color="0000FF"/>
        </w:rPr>
        <w:t>. S</w:t>
      </w:r>
      <w:r w:rsidR="00117629" w:rsidRPr="00117629">
        <w:rPr>
          <w:rFonts w:ascii="Times New Roman" w:hAnsi="Times New Roman"/>
          <w:sz w:val="24"/>
          <w:szCs w:val="24"/>
          <w:u w:color="0000FF"/>
        </w:rPr>
        <w:t>ellega võrdsustatakse vabatahtlikus pensionifondis ja täiendava kogumispensioni kindlustuslepingu</w:t>
      </w:r>
      <w:r w:rsidR="00117629">
        <w:rPr>
          <w:rFonts w:ascii="Times New Roman" w:hAnsi="Times New Roman"/>
          <w:sz w:val="24"/>
          <w:szCs w:val="24"/>
          <w:u w:color="0000FF"/>
        </w:rPr>
        <w:t>ga</w:t>
      </w:r>
      <w:r w:rsidR="00117629" w:rsidRPr="00117629">
        <w:rPr>
          <w:rFonts w:ascii="Times New Roman" w:hAnsi="Times New Roman"/>
          <w:sz w:val="24"/>
          <w:szCs w:val="24"/>
          <w:u w:color="0000FF"/>
        </w:rPr>
        <w:t xml:space="preserve"> pensioni kogumise tingimusi</w:t>
      </w:r>
      <w:r w:rsidR="00BD69F8" w:rsidRPr="00D32BED">
        <w:rPr>
          <w:rFonts w:ascii="Times New Roman" w:hAnsi="Times New Roman"/>
          <w:sz w:val="24"/>
          <w:szCs w:val="24"/>
          <w:u w:color="0000FF"/>
        </w:rPr>
        <w:t>;</w:t>
      </w:r>
    </w:p>
    <w:p w14:paraId="3F92AE03" w14:textId="768BFA92" w:rsidR="00BD69F8" w:rsidRPr="00D32BED" w:rsidRDefault="00BD69F8" w:rsidP="00D32BED">
      <w:pPr>
        <w:pStyle w:val="Loendilik"/>
        <w:widowControl w:val="0"/>
        <w:numPr>
          <w:ilvl w:val="0"/>
          <w:numId w:val="10"/>
        </w:numPr>
        <w:tabs>
          <w:tab w:val="left" w:pos="1560"/>
        </w:tabs>
        <w:autoSpaceDE w:val="0"/>
        <w:autoSpaceDN w:val="0"/>
        <w:adjustRightInd w:val="0"/>
        <w:jc w:val="both"/>
        <w:rPr>
          <w:rFonts w:ascii="Times New Roman" w:hAnsi="Times New Roman"/>
          <w:sz w:val="24"/>
          <w:szCs w:val="24"/>
          <w:u w:color="0000FF"/>
        </w:rPr>
      </w:pPr>
      <w:r w:rsidRPr="00D32BED">
        <w:rPr>
          <w:rFonts w:ascii="Times New Roman" w:hAnsi="Times New Roman"/>
          <w:sz w:val="24"/>
          <w:szCs w:val="24"/>
          <w:u w:color="0000FF"/>
        </w:rPr>
        <w:t xml:space="preserve">viiakse sisse muudatus, millega kohaldatakse </w:t>
      </w:r>
      <w:r w:rsidR="00021C03" w:rsidRPr="00D32BED">
        <w:rPr>
          <w:rFonts w:ascii="Times New Roman" w:hAnsi="Times New Roman"/>
          <w:sz w:val="24"/>
          <w:szCs w:val="24"/>
          <w:u w:color="0000FF"/>
        </w:rPr>
        <w:t xml:space="preserve"> </w:t>
      </w:r>
      <w:r w:rsidRPr="00D32BED">
        <w:rPr>
          <w:rFonts w:ascii="Times New Roman" w:hAnsi="Times New Roman"/>
          <w:sz w:val="24"/>
          <w:szCs w:val="24"/>
          <w:u w:color="0000FF"/>
        </w:rPr>
        <w:t xml:space="preserve">Euroopa Parlamendi ja nõukogu määrust (EL) 2019/2088, mis käsitleb jätkusuutlikkust käsitleva teabe avalikustamist finantsteenuste sektoris, edaspidi ka kohustuslike pensionifondide suhtes, mis tähendab, et sarnaselt näiteks vabatahtlikele pensionifondidele, eurofondidele või alternatiivfondidele tuleb ka kohustuslike pensionifondide puhul avaldada </w:t>
      </w:r>
      <w:r w:rsidR="00181E84" w:rsidRPr="00D32BED">
        <w:rPr>
          <w:rFonts w:ascii="Times New Roman" w:hAnsi="Times New Roman"/>
          <w:sz w:val="24"/>
          <w:szCs w:val="24"/>
          <w:u w:color="0000FF"/>
        </w:rPr>
        <w:t>investeerimise ja riskide juhtimisega seonduvalt jätkusuutlikkust käsitlevat teavet</w:t>
      </w:r>
      <w:r w:rsidR="008A0094">
        <w:rPr>
          <w:rFonts w:ascii="Times New Roman" w:hAnsi="Times New Roman"/>
          <w:sz w:val="24"/>
          <w:szCs w:val="24"/>
          <w:u w:color="0000FF"/>
        </w:rPr>
        <w:t>. Eesmärgiks on rakendada vabatahtlikele ja kohustuslikele pensionifondidele sarnaseid nõudeid, arvestades muu hulgas, et kohustuslike pensionifondide maht ja seega ka mõju Eestis on suur</w:t>
      </w:r>
      <w:r w:rsidRPr="00D32BED">
        <w:rPr>
          <w:rFonts w:ascii="Times New Roman" w:hAnsi="Times New Roman"/>
          <w:sz w:val="24"/>
          <w:szCs w:val="24"/>
          <w:u w:color="0000FF"/>
        </w:rPr>
        <w:t>;</w:t>
      </w:r>
    </w:p>
    <w:p w14:paraId="610BEFCD" w14:textId="5A6D191C" w:rsidR="00BD69F8" w:rsidRPr="00D32BED" w:rsidRDefault="006F3AC2" w:rsidP="00D32BED">
      <w:pPr>
        <w:pStyle w:val="Loendilik"/>
        <w:widowControl w:val="0"/>
        <w:numPr>
          <w:ilvl w:val="0"/>
          <w:numId w:val="10"/>
        </w:numPr>
        <w:tabs>
          <w:tab w:val="left" w:pos="1560"/>
        </w:tabs>
        <w:autoSpaceDE w:val="0"/>
        <w:autoSpaceDN w:val="0"/>
        <w:adjustRightInd w:val="0"/>
        <w:jc w:val="both"/>
        <w:rPr>
          <w:rFonts w:ascii="Times New Roman" w:hAnsi="Times New Roman"/>
          <w:sz w:val="24"/>
          <w:szCs w:val="24"/>
          <w:u w:color="0000FF"/>
        </w:rPr>
      </w:pPr>
      <w:r w:rsidRPr="00D32BED">
        <w:rPr>
          <w:rFonts w:ascii="Times New Roman" w:hAnsi="Times New Roman"/>
          <w:sz w:val="24"/>
          <w:szCs w:val="24"/>
          <w:u w:color="0000FF"/>
        </w:rPr>
        <w:t>Euroopa Parlamendi ja nõukogu määruses (EL) 2019/1238 üleeuroopalise personaalse pensionitoote (PEPP) kohta kehtestatud nõuete rikkumise tagajärjeks oleva</w:t>
      </w:r>
      <w:r w:rsidR="00E52BA8">
        <w:rPr>
          <w:rFonts w:ascii="Times New Roman" w:hAnsi="Times New Roman"/>
          <w:sz w:val="24"/>
          <w:szCs w:val="24"/>
          <w:u w:color="0000FF"/>
        </w:rPr>
        <w:t>d</w:t>
      </w:r>
      <w:r w:rsidRPr="00D32BED">
        <w:rPr>
          <w:rFonts w:ascii="Times New Roman" w:hAnsi="Times New Roman"/>
          <w:sz w:val="24"/>
          <w:szCs w:val="24"/>
          <w:u w:color="0000FF"/>
        </w:rPr>
        <w:t xml:space="preserve"> väärteokaristuste </w:t>
      </w:r>
      <w:r w:rsidR="00181E84" w:rsidRPr="00D32BED">
        <w:rPr>
          <w:rFonts w:ascii="Times New Roman" w:hAnsi="Times New Roman"/>
          <w:sz w:val="24"/>
          <w:szCs w:val="24"/>
          <w:u w:color="0000FF"/>
        </w:rPr>
        <w:t>piirmäärad</w:t>
      </w:r>
      <w:r w:rsidR="00E52BA8">
        <w:rPr>
          <w:rFonts w:ascii="Times New Roman" w:hAnsi="Times New Roman"/>
          <w:sz w:val="24"/>
          <w:szCs w:val="24"/>
          <w:u w:color="0000FF"/>
        </w:rPr>
        <w:t xml:space="preserve"> tõstetakse vastavates finantssektori seadustes 400 000 eurolt 5 miljoni eurole</w:t>
      </w:r>
      <w:r w:rsidRPr="00D32BED">
        <w:rPr>
          <w:rFonts w:ascii="Times New Roman" w:hAnsi="Times New Roman"/>
          <w:sz w:val="24"/>
          <w:szCs w:val="24"/>
          <w:u w:color="0000FF"/>
        </w:rPr>
        <w:t xml:space="preserve">, mis </w:t>
      </w:r>
      <w:r w:rsidR="00181E84" w:rsidRPr="00D32BED">
        <w:rPr>
          <w:rFonts w:ascii="Times New Roman" w:hAnsi="Times New Roman"/>
          <w:sz w:val="24"/>
          <w:szCs w:val="24"/>
          <w:u w:color="0000FF"/>
        </w:rPr>
        <w:t xml:space="preserve">eelnõude samaaegse menetluse tõttu </w:t>
      </w:r>
      <w:r w:rsidRPr="00D32BED">
        <w:rPr>
          <w:rFonts w:ascii="Times New Roman" w:hAnsi="Times New Roman"/>
          <w:sz w:val="24"/>
          <w:szCs w:val="24"/>
          <w:u w:color="0000FF"/>
        </w:rPr>
        <w:t xml:space="preserve">jäi </w:t>
      </w:r>
      <w:r w:rsidR="00E52BA8">
        <w:rPr>
          <w:rFonts w:ascii="Times New Roman" w:hAnsi="Times New Roman"/>
          <w:sz w:val="24"/>
          <w:szCs w:val="24"/>
          <w:u w:color="0000FF"/>
        </w:rPr>
        <w:t xml:space="preserve">tegemata </w:t>
      </w:r>
      <w:r w:rsidRPr="00D32BED">
        <w:rPr>
          <w:rFonts w:ascii="Times New Roman" w:hAnsi="Times New Roman"/>
          <w:sz w:val="24"/>
          <w:szCs w:val="24"/>
          <w:u w:color="0000FF"/>
        </w:rPr>
        <w:t>2023. aasta 1. novembril jõustu</w:t>
      </w:r>
      <w:r w:rsidR="00181E84" w:rsidRPr="00D32BED">
        <w:rPr>
          <w:rFonts w:ascii="Times New Roman" w:hAnsi="Times New Roman"/>
          <w:sz w:val="24"/>
          <w:szCs w:val="24"/>
          <w:u w:color="0000FF"/>
        </w:rPr>
        <w:t>nud</w:t>
      </w:r>
      <w:r w:rsidRPr="00D32BED">
        <w:rPr>
          <w:rFonts w:ascii="Times New Roman" w:hAnsi="Times New Roman"/>
          <w:sz w:val="24"/>
          <w:szCs w:val="24"/>
          <w:u w:color="0000FF"/>
        </w:rPr>
        <w:t xml:space="preserve"> audiitortegevuse seaduse, finantskriisi ennetamise ja lahendamise seaduse ning teiste seaduste muutmise seadusega (finantsvaldkonna väärteokaristuste </w:t>
      </w:r>
      <w:r w:rsidRPr="00D32BED">
        <w:rPr>
          <w:rFonts w:ascii="Times New Roman" w:hAnsi="Times New Roman"/>
          <w:sz w:val="24"/>
          <w:szCs w:val="24"/>
          <w:u w:color="0000FF"/>
        </w:rPr>
        <w:lastRenderedPageBreak/>
        <w:t>reform, EL-i õigusest tulenevad karistused), millega</w:t>
      </w:r>
      <w:r w:rsidR="00E52BA8">
        <w:rPr>
          <w:rFonts w:ascii="Times New Roman" w:hAnsi="Times New Roman"/>
          <w:sz w:val="24"/>
          <w:szCs w:val="24"/>
          <w:u w:color="0000FF"/>
        </w:rPr>
        <w:t xml:space="preserve"> tõsteti</w:t>
      </w:r>
      <w:r w:rsidRPr="00D32BED">
        <w:rPr>
          <w:rFonts w:ascii="Times New Roman" w:hAnsi="Times New Roman"/>
          <w:sz w:val="24"/>
          <w:szCs w:val="24"/>
          <w:u w:color="0000FF"/>
        </w:rPr>
        <w:t xml:space="preserve"> </w:t>
      </w:r>
      <w:r w:rsidR="00E52BA8">
        <w:rPr>
          <w:rFonts w:ascii="Times New Roman" w:hAnsi="Times New Roman"/>
          <w:sz w:val="24"/>
          <w:szCs w:val="24"/>
          <w:u w:color="0000FF"/>
        </w:rPr>
        <w:t xml:space="preserve">kõiki </w:t>
      </w:r>
      <w:r w:rsidRPr="00D32BED">
        <w:rPr>
          <w:rFonts w:ascii="Times New Roman" w:hAnsi="Times New Roman"/>
          <w:sz w:val="24"/>
          <w:szCs w:val="24"/>
          <w:u w:color="0000FF"/>
        </w:rPr>
        <w:t>finantssektori seadustes sätestatud väärteokaristuste määrasid</w:t>
      </w:r>
      <w:r w:rsidR="00BD69F8" w:rsidRPr="00D32BED">
        <w:rPr>
          <w:rFonts w:ascii="Times New Roman" w:hAnsi="Times New Roman"/>
          <w:sz w:val="24"/>
          <w:szCs w:val="24"/>
          <w:u w:color="0000FF"/>
        </w:rPr>
        <w:t>;</w:t>
      </w:r>
    </w:p>
    <w:p w14:paraId="1DD33D7E" w14:textId="56A602F0" w:rsidR="006D07D7" w:rsidRPr="00D32BED" w:rsidRDefault="00BD69F8" w:rsidP="00D32BED">
      <w:pPr>
        <w:pStyle w:val="Loendilik"/>
        <w:widowControl w:val="0"/>
        <w:numPr>
          <w:ilvl w:val="0"/>
          <w:numId w:val="10"/>
        </w:numPr>
        <w:tabs>
          <w:tab w:val="left" w:pos="1560"/>
        </w:tabs>
        <w:autoSpaceDE w:val="0"/>
        <w:autoSpaceDN w:val="0"/>
        <w:adjustRightInd w:val="0"/>
        <w:jc w:val="both"/>
        <w:rPr>
          <w:rFonts w:ascii="Times New Roman" w:hAnsi="Times New Roman"/>
          <w:u w:color="0000FF"/>
        </w:rPr>
      </w:pPr>
      <w:r w:rsidRPr="00D32BED">
        <w:rPr>
          <w:rFonts w:ascii="Times New Roman" w:hAnsi="Times New Roman"/>
          <w:sz w:val="24"/>
          <w:szCs w:val="24"/>
          <w:u w:color="0000FF"/>
        </w:rPr>
        <w:t>tehakse  muid väiksemaid parandusi, eelkõige sõnastuslikke täpsustusi</w:t>
      </w:r>
      <w:r w:rsidRPr="00D32BED">
        <w:rPr>
          <w:sz w:val="24"/>
          <w:szCs w:val="24"/>
        </w:rPr>
        <w:t xml:space="preserve"> </w:t>
      </w:r>
      <w:r w:rsidRPr="00D32BED">
        <w:rPr>
          <w:rFonts w:ascii="Times New Roman" w:hAnsi="Times New Roman"/>
          <w:sz w:val="24"/>
          <w:szCs w:val="24"/>
          <w:u w:color="0000FF"/>
        </w:rPr>
        <w:t>Euroopa Parlamendi ja Nõukogu direktiivi 2009/65/EÜ vabalt võõrandatavatesse väärtpaberitesse ühiseks investeeringuks loodud ettevõtjaid (eurofondid) käsitlevate õigus- ja haldusnormide kooskõlastamise kohta ning Euroopa Parlamendi ja nõukogu direktiivi (EL) 2019/1160, millega muudetakse direktiive 2009/65/EÜ ja 2011/61/EL seoses investeerimisfondide piiriülese turustamisega, paaris IFS-s sisalduvas ülevõtmissättes</w:t>
      </w:r>
      <w:r w:rsidRPr="00D32BED">
        <w:rPr>
          <w:rFonts w:ascii="Times New Roman" w:hAnsi="Times New Roman"/>
          <w:u w:color="0000FF"/>
        </w:rPr>
        <w:t>.</w:t>
      </w:r>
    </w:p>
    <w:p w14:paraId="60B477B6" w14:textId="7B4BF898" w:rsidR="006D07D7" w:rsidRPr="006D07D7" w:rsidRDefault="00477D9E"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Valdavalt </w:t>
      </w:r>
      <w:r w:rsidRPr="0004675A">
        <w:rPr>
          <w:rFonts w:ascii="Times New Roman" w:hAnsi="Times New Roman"/>
          <w:u w:color="0000FF"/>
          <w:lang w:val="et-EE"/>
        </w:rPr>
        <w:t xml:space="preserve">on tegemist tehnilist laadi muudatustega. </w:t>
      </w:r>
      <w:r w:rsidR="00E171F8" w:rsidRPr="0004675A">
        <w:rPr>
          <w:rFonts w:ascii="Times New Roman" w:hAnsi="Times New Roman"/>
          <w:u w:color="0000FF"/>
          <w:lang w:val="et-EE"/>
        </w:rPr>
        <w:t xml:space="preserve">Muudatused on kavandatud jõustuma </w:t>
      </w:r>
      <w:r w:rsidR="006F3AC2" w:rsidRPr="0004675A">
        <w:rPr>
          <w:rFonts w:ascii="Times New Roman" w:hAnsi="Times New Roman"/>
          <w:u w:color="0000FF"/>
          <w:lang w:val="et-EE"/>
        </w:rPr>
        <w:t xml:space="preserve">üldises korras. </w:t>
      </w:r>
      <w:r w:rsidR="00747A59" w:rsidRPr="0004675A">
        <w:rPr>
          <w:rFonts w:ascii="Times New Roman" w:hAnsi="Times New Roman"/>
          <w:u w:color="0000FF"/>
          <w:lang w:val="et-EE"/>
        </w:rPr>
        <w:t xml:space="preserve">Erandiks on eelnõu § 1 punktid </w:t>
      </w:r>
      <w:r w:rsidR="00A62956" w:rsidRPr="0004675A">
        <w:rPr>
          <w:rFonts w:ascii="Times New Roman" w:hAnsi="Times New Roman"/>
          <w:u w:color="0000FF"/>
          <w:lang w:val="et-EE"/>
        </w:rPr>
        <w:t>6 ja 8</w:t>
      </w:r>
      <w:r w:rsidR="00747A59" w:rsidRPr="0004675A">
        <w:rPr>
          <w:rFonts w:ascii="Times New Roman" w:hAnsi="Times New Roman"/>
          <w:u w:color="0000FF"/>
          <w:lang w:val="et-EE"/>
        </w:rPr>
        <w:t>–</w:t>
      </w:r>
      <w:r w:rsidR="00A62956" w:rsidRPr="0004675A">
        <w:rPr>
          <w:rFonts w:ascii="Times New Roman" w:hAnsi="Times New Roman"/>
          <w:u w:color="0000FF"/>
          <w:lang w:val="et-EE"/>
        </w:rPr>
        <w:t>22</w:t>
      </w:r>
      <w:r w:rsidR="00747A59" w:rsidRPr="0004675A">
        <w:rPr>
          <w:rFonts w:ascii="Times New Roman" w:hAnsi="Times New Roman"/>
          <w:u w:color="0000FF"/>
          <w:lang w:val="et-EE"/>
        </w:rPr>
        <w:t>, mis puudutavad II samba pensionivara pärimist</w:t>
      </w:r>
      <w:r w:rsidR="00A62956" w:rsidRPr="0004675A">
        <w:rPr>
          <w:rFonts w:ascii="Times New Roman" w:hAnsi="Times New Roman"/>
          <w:u w:color="0000FF"/>
          <w:lang w:val="et-EE"/>
        </w:rPr>
        <w:t>, sh II samba pensionilepingute soodustatud isikute võimalusi pärast kindlustusvõtja surma,</w:t>
      </w:r>
      <w:r w:rsidR="00747A59" w:rsidRPr="0004675A">
        <w:rPr>
          <w:rFonts w:ascii="Times New Roman" w:hAnsi="Times New Roman"/>
          <w:u w:color="0000FF"/>
          <w:lang w:val="et-EE"/>
        </w:rPr>
        <w:t xml:space="preserve"> ja mis on kavandatud jõustuma 202</w:t>
      </w:r>
      <w:r w:rsidR="006F3AC2" w:rsidRPr="0004675A">
        <w:rPr>
          <w:rFonts w:ascii="Times New Roman" w:hAnsi="Times New Roman"/>
          <w:u w:color="0000FF"/>
          <w:lang w:val="et-EE"/>
        </w:rPr>
        <w:t>5</w:t>
      </w:r>
      <w:r w:rsidR="00747A59" w:rsidRPr="0004675A">
        <w:rPr>
          <w:rFonts w:ascii="Times New Roman" w:hAnsi="Times New Roman"/>
          <w:u w:color="0000FF"/>
          <w:lang w:val="et-EE"/>
        </w:rPr>
        <w:t>. aasta 1. j</w:t>
      </w:r>
      <w:r w:rsidR="00A62956" w:rsidRPr="0004675A">
        <w:rPr>
          <w:rFonts w:ascii="Times New Roman" w:hAnsi="Times New Roman"/>
          <w:u w:color="0000FF"/>
          <w:lang w:val="et-EE"/>
        </w:rPr>
        <w:t>uun</w:t>
      </w:r>
      <w:r w:rsidR="006F3AC2" w:rsidRPr="0004675A">
        <w:rPr>
          <w:rFonts w:ascii="Times New Roman" w:hAnsi="Times New Roman"/>
          <w:u w:color="0000FF"/>
          <w:lang w:val="et-EE"/>
        </w:rPr>
        <w:t>i</w:t>
      </w:r>
      <w:r w:rsidR="00747A59" w:rsidRPr="0004675A">
        <w:rPr>
          <w:rFonts w:ascii="Times New Roman" w:hAnsi="Times New Roman"/>
          <w:u w:color="0000FF"/>
          <w:lang w:val="et-EE"/>
        </w:rPr>
        <w:t xml:space="preserve">l. </w:t>
      </w:r>
      <w:r w:rsidR="00A62956" w:rsidRPr="0004675A">
        <w:rPr>
          <w:rFonts w:ascii="Times New Roman" w:hAnsi="Times New Roman"/>
          <w:u w:color="0000FF"/>
          <w:lang w:val="et-EE"/>
        </w:rPr>
        <w:t>Nende muudatuste h</w:t>
      </w:r>
      <w:r w:rsidR="00747A59" w:rsidRPr="0004675A">
        <w:rPr>
          <w:rFonts w:ascii="Times New Roman" w:hAnsi="Times New Roman"/>
          <w:u w:color="0000FF"/>
          <w:lang w:val="et-EE"/>
        </w:rPr>
        <w:t xml:space="preserve">ilisem jõustumine on vajalik, et </w:t>
      </w:r>
      <w:r w:rsidR="00A62956" w:rsidRPr="0004675A">
        <w:rPr>
          <w:rFonts w:ascii="Times New Roman" w:hAnsi="Times New Roman"/>
          <w:u w:color="0000FF"/>
          <w:lang w:val="et-EE"/>
        </w:rPr>
        <w:t>jõuaks</w:t>
      </w:r>
      <w:r w:rsidR="00747A59">
        <w:rPr>
          <w:rFonts w:ascii="Times New Roman" w:hAnsi="Times New Roman"/>
          <w:u w:color="0000FF"/>
          <w:lang w:val="et-EE"/>
        </w:rPr>
        <w:t xml:space="preserve"> teostada</w:t>
      </w:r>
      <w:r w:rsidR="00124400">
        <w:rPr>
          <w:rFonts w:ascii="Times New Roman" w:hAnsi="Times New Roman"/>
          <w:u w:color="0000FF"/>
          <w:lang w:val="et-EE"/>
        </w:rPr>
        <w:t xml:space="preserve"> </w:t>
      </w:r>
      <w:r w:rsidR="00747A59">
        <w:rPr>
          <w:rFonts w:ascii="Times New Roman" w:hAnsi="Times New Roman"/>
          <w:u w:color="0000FF"/>
          <w:lang w:val="et-EE"/>
        </w:rPr>
        <w:t xml:space="preserve">vajalikud arendused pensioniregistris. </w:t>
      </w:r>
    </w:p>
    <w:p w14:paraId="48D5CD5B" w14:textId="77777777" w:rsidR="00E52069" w:rsidRDefault="00E52069" w:rsidP="00D32BED">
      <w:pPr>
        <w:widowControl w:val="0"/>
        <w:tabs>
          <w:tab w:val="left" w:pos="1560"/>
        </w:tabs>
        <w:autoSpaceDE w:val="0"/>
        <w:autoSpaceDN w:val="0"/>
        <w:adjustRightInd w:val="0"/>
        <w:jc w:val="both"/>
        <w:rPr>
          <w:rFonts w:ascii="Times New Roman" w:hAnsi="Times New Roman"/>
          <w:u w:color="0000FF"/>
          <w:lang w:val="et-EE"/>
        </w:rPr>
      </w:pPr>
    </w:p>
    <w:p w14:paraId="4D33F167" w14:textId="77777777" w:rsidR="00951095" w:rsidRDefault="00951095" w:rsidP="00D32BED">
      <w:pPr>
        <w:widowControl w:val="0"/>
        <w:autoSpaceDE w:val="0"/>
        <w:autoSpaceDN w:val="0"/>
        <w:adjustRightInd w:val="0"/>
        <w:jc w:val="both"/>
        <w:rPr>
          <w:rFonts w:ascii="Times New Roman" w:hAnsi="Times New Roman"/>
          <w:b/>
          <w:u w:color="0000FF"/>
          <w:lang w:val="et-EE"/>
        </w:rPr>
      </w:pPr>
      <w:r w:rsidRPr="00951095">
        <w:rPr>
          <w:rFonts w:ascii="Times New Roman" w:hAnsi="Times New Roman"/>
          <w:b/>
          <w:u w:color="0000FF"/>
          <w:lang w:val="et-EE"/>
        </w:rPr>
        <w:t xml:space="preserve">1.2. Eelnõu </w:t>
      </w:r>
      <w:r w:rsidR="00404472">
        <w:rPr>
          <w:rFonts w:ascii="Times New Roman" w:hAnsi="Times New Roman"/>
          <w:b/>
          <w:u w:color="0000FF"/>
          <w:lang w:val="et-EE"/>
        </w:rPr>
        <w:t>ettevalmistaja</w:t>
      </w:r>
    </w:p>
    <w:p w14:paraId="5CC0D1FC" w14:textId="6A9FE4F1" w:rsidR="00632C05" w:rsidRDefault="0012626A" w:rsidP="00D32BED">
      <w:pPr>
        <w:widowControl w:val="0"/>
        <w:autoSpaceDE w:val="0"/>
        <w:autoSpaceDN w:val="0"/>
        <w:adjustRightInd w:val="0"/>
        <w:jc w:val="both"/>
        <w:rPr>
          <w:rFonts w:ascii="Times New Roman" w:hAnsi="Times New Roman"/>
          <w:lang w:val="et-EE"/>
        </w:rPr>
      </w:pPr>
      <w:r>
        <w:rPr>
          <w:rFonts w:ascii="Times New Roman" w:hAnsi="Times New Roman"/>
          <w:lang w:val="et-EE"/>
        </w:rPr>
        <w:t>Eelnõu</w:t>
      </w:r>
      <w:r w:rsidR="002A336B">
        <w:rPr>
          <w:rFonts w:ascii="Times New Roman" w:hAnsi="Times New Roman"/>
          <w:lang w:val="et-EE"/>
        </w:rPr>
        <w:t xml:space="preserve"> </w:t>
      </w:r>
      <w:r w:rsidR="00632C05" w:rsidRPr="00632C05">
        <w:rPr>
          <w:rFonts w:ascii="Times New Roman" w:hAnsi="Times New Roman"/>
          <w:lang w:val="et-EE"/>
        </w:rPr>
        <w:t>ja seletuskirja on ette valmistanud</w:t>
      </w:r>
      <w:r w:rsidR="002A336B">
        <w:rPr>
          <w:rFonts w:ascii="Times New Roman" w:hAnsi="Times New Roman"/>
          <w:lang w:val="et-EE"/>
        </w:rPr>
        <w:t xml:space="preserve"> </w:t>
      </w:r>
      <w:r w:rsidR="002A336B" w:rsidRPr="002A336B">
        <w:rPr>
          <w:rFonts w:ascii="Times New Roman" w:hAnsi="Times New Roman"/>
          <w:lang w:val="et-EE"/>
        </w:rPr>
        <w:t xml:space="preserve">Rahandusministeeriumi </w:t>
      </w:r>
      <w:r w:rsidR="00747A59">
        <w:rPr>
          <w:rFonts w:ascii="Times New Roman" w:hAnsi="Times New Roman"/>
          <w:lang w:val="et-EE"/>
        </w:rPr>
        <w:t xml:space="preserve">finantsteenuste </w:t>
      </w:r>
      <w:r w:rsidR="002A336B" w:rsidRPr="002A336B">
        <w:rPr>
          <w:rFonts w:ascii="Times New Roman" w:hAnsi="Times New Roman"/>
          <w:lang w:val="et-EE"/>
        </w:rPr>
        <w:t>poliitika osakonna nõunik</w:t>
      </w:r>
      <w:r w:rsidR="00BA655F">
        <w:rPr>
          <w:rFonts w:ascii="Times New Roman" w:hAnsi="Times New Roman"/>
          <w:lang w:val="et-EE"/>
        </w:rPr>
        <w:t>ud</w:t>
      </w:r>
      <w:r w:rsidR="002A336B" w:rsidRPr="002A336B">
        <w:rPr>
          <w:rFonts w:ascii="Times New Roman" w:hAnsi="Times New Roman"/>
          <w:lang w:val="et-EE"/>
        </w:rPr>
        <w:t xml:space="preserve"> Kertu Fedotov (</w:t>
      </w:r>
      <w:hyperlink r:id="rId12" w:history="1">
        <w:r w:rsidR="00632C05" w:rsidRPr="006C167D">
          <w:rPr>
            <w:rStyle w:val="Hperlink"/>
            <w:rFonts w:ascii="Times New Roman" w:hAnsi="Times New Roman"/>
            <w:lang w:val="et-EE"/>
          </w:rPr>
          <w:t>kertu.fedotov@fin.ee</w:t>
        </w:r>
      </w:hyperlink>
      <w:r w:rsidR="00632C05">
        <w:rPr>
          <w:rFonts w:ascii="Times New Roman" w:hAnsi="Times New Roman"/>
          <w:lang w:val="et-EE"/>
        </w:rPr>
        <w:t>;</w:t>
      </w:r>
      <w:r w:rsidR="002A336B" w:rsidRPr="002A336B">
        <w:rPr>
          <w:rFonts w:ascii="Times New Roman" w:hAnsi="Times New Roman"/>
          <w:lang w:val="et-EE"/>
        </w:rPr>
        <w:t xml:space="preserve"> </w:t>
      </w:r>
      <w:r w:rsidR="00BA655F">
        <w:rPr>
          <w:rFonts w:ascii="Times New Roman" w:hAnsi="Times New Roman"/>
          <w:lang w:val="et-EE"/>
        </w:rPr>
        <w:t>58 851 393</w:t>
      </w:r>
      <w:r w:rsidR="002A336B" w:rsidRPr="002A336B">
        <w:rPr>
          <w:rFonts w:ascii="Times New Roman" w:hAnsi="Times New Roman"/>
          <w:lang w:val="et-EE"/>
        </w:rPr>
        <w:t>)</w:t>
      </w:r>
      <w:r w:rsidR="00BA655F">
        <w:rPr>
          <w:rFonts w:ascii="Times New Roman" w:hAnsi="Times New Roman"/>
          <w:lang w:val="et-EE"/>
        </w:rPr>
        <w:t xml:space="preserve"> ja Marit Maidla (</w:t>
      </w:r>
      <w:hyperlink r:id="rId13" w:history="1">
        <w:r w:rsidR="00BA655F" w:rsidRPr="00B67AC8">
          <w:rPr>
            <w:rStyle w:val="Hperlink"/>
            <w:rFonts w:ascii="Times New Roman" w:hAnsi="Times New Roman"/>
            <w:lang w:val="et-EE"/>
          </w:rPr>
          <w:t>marit.maidla@fin.ee</w:t>
        </w:r>
      </w:hyperlink>
      <w:r w:rsidR="00BA655F">
        <w:rPr>
          <w:rFonts w:ascii="Times New Roman" w:hAnsi="Times New Roman"/>
          <w:lang w:val="et-EE"/>
        </w:rPr>
        <w:t>)</w:t>
      </w:r>
      <w:r w:rsidR="006F3AC2">
        <w:rPr>
          <w:rFonts w:ascii="Times New Roman" w:hAnsi="Times New Roman"/>
          <w:lang w:val="et-EE"/>
        </w:rPr>
        <w:t>.</w:t>
      </w:r>
    </w:p>
    <w:p w14:paraId="4CF22449" w14:textId="77777777" w:rsidR="006D07D7" w:rsidRDefault="006D07D7" w:rsidP="00D32BED">
      <w:pPr>
        <w:widowControl w:val="0"/>
        <w:autoSpaceDE w:val="0"/>
        <w:autoSpaceDN w:val="0"/>
        <w:adjustRightInd w:val="0"/>
        <w:jc w:val="both"/>
        <w:rPr>
          <w:rFonts w:ascii="Times New Roman" w:hAnsi="Times New Roman"/>
          <w:lang w:val="et-EE"/>
        </w:rPr>
      </w:pPr>
    </w:p>
    <w:p w14:paraId="6C449B05" w14:textId="36B17698" w:rsidR="002A336B" w:rsidRPr="006D1FDB" w:rsidRDefault="00632C05" w:rsidP="00D32BED">
      <w:pPr>
        <w:widowControl w:val="0"/>
        <w:autoSpaceDE w:val="0"/>
        <w:autoSpaceDN w:val="0"/>
        <w:adjustRightInd w:val="0"/>
        <w:jc w:val="both"/>
        <w:rPr>
          <w:rFonts w:ascii="Times New Roman" w:hAnsi="Times New Roman"/>
          <w:lang w:val="et-EE"/>
        </w:rPr>
      </w:pPr>
      <w:r w:rsidRPr="00401DAD">
        <w:rPr>
          <w:rFonts w:ascii="Times New Roman" w:hAnsi="Times New Roman"/>
          <w:u w:color="0000FF"/>
          <w:lang w:val="et-EE"/>
        </w:rPr>
        <w:t xml:space="preserve">Eelnõu juriidilise kvaliteedi osas tegi ettepanekuid Rahandusministeeriumi </w:t>
      </w:r>
      <w:r w:rsidR="00C439DF">
        <w:rPr>
          <w:rFonts w:ascii="Times New Roman" w:hAnsi="Times New Roman"/>
          <w:u w:color="0000FF"/>
          <w:lang w:val="et-EE"/>
        </w:rPr>
        <w:t xml:space="preserve">personali- ja </w:t>
      </w:r>
      <w:r w:rsidRPr="006D1FDB">
        <w:rPr>
          <w:rFonts w:ascii="Times New Roman" w:hAnsi="Times New Roman"/>
          <w:u w:color="0000FF"/>
          <w:lang w:val="et-EE"/>
        </w:rPr>
        <w:t xml:space="preserve">õigusosakonna nõunik </w:t>
      </w:r>
      <w:r w:rsidRPr="00215ABE">
        <w:rPr>
          <w:rFonts w:ascii="Times New Roman" w:hAnsi="Times New Roman"/>
          <w:u w:color="0000FF"/>
          <w:lang w:val="et-EE"/>
        </w:rPr>
        <w:t>Marge Kaskpeit (tel</w:t>
      </w:r>
      <w:r w:rsidR="00F65304">
        <w:rPr>
          <w:rFonts w:ascii="Times New Roman" w:hAnsi="Times New Roman"/>
          <w:u w:color="0000FF"/>
          <w:lang w:val="et-EE"/>
        </w:rPr>
        <w:t xml:space="preserve"> </w:t>
      </w:r>
      <w:r w:rsidR="00F65304" w:rsidRPr="00F65304">
        <w:rPr>
          <w:rFonts w:ascii="Times New Roman" w:hAnsi="Times New Roman"/>
          <w:u w:color="0000FF"/>
          <w:lang w:val="et-EE"/>
        </w:rPr>
        <w:t>5885 1423</w:t>
      </w:r>
      <w:r w:rsidRPr="00215ABE">
        <w:rPr>
          <w:rFonts w:ascii="Times New Roman" w:hAnsi="Times New Roman"/>
          <w:u w:color="0000FF"/>
          <w:lang w:val="et-EE"/>
        </w:rPr>
        <w:t xml:space="preserve">, </w:t>
      </w:r>
      <w:hyperlink r:id="rId14" w:history="1">
        <w:r w:rsidRPr="00215ABE">
          <w:rPr>
            <w:rStyle w:val="Hperlink"/>
            <w:rFonts w:ascii="Times New Roman" w:hAnsi="Times New Roman"/>
            <w:u w:color="0000FF"/>
            <w:lang w:val="et-EE"/>
          </w:rPr>
          <w:t>marge.kaskpeit@fin.ee</w:t>
        </w:r>
      </w:hyperlink>
      <w:r w:rsidRPr="00215ABE">
        <w:rPr>
          <w:rFonts w:ascii="Times New Roman" w:hAnsi="Times New Roman"/>
          <w:u w:color="0000FF"/>
          <w:lang w:val="et-EE"/>
        </w:rPr>
        <w:t xml:space="preserve">). Eelnõu keelelise toimetamise ettepanekud tegi </w:t>
      </w:r>
      <w:r w:rsidR="00C439DF" w:rsidRPr="00215ABE">
        <w:rPr>
          <w:rFonts w:ascii="Times New Roman" w:hAnsi="Times New Roman"/>
          <w:u w:color="0000FF"/>
          <w:lang w:val="et-EE"/>
        </w:rPr>
        <w:t xml:space="preserve">sama </w:t>
      </w:r>
      <w:r w:rsidRPr="00215ABE">
        <w:rPr>
          <w:rFonts w:ascii="Times New Roman" w:hAnsi="Times New Roman"/>
          <w:u w:color="0000FF"/>
          <w:lang w:val="et-EE"/>
        </w:rPr>
        <w:t>osakonna keeletoimetaja Sirje Lilover (tel</w:t>
      </w:r>
      <w:r w:rsidR="00F65304">
        <w:rPr>
          <w:rFonts w:ascii="Times New Roman" w:hAnsi="Times New Roman"/>
          <w:u w:color="0000FF"/>
          <w:lang w:val="et-EE"/>
        </w:rPr>
        <w:t xml:space="preserve"> </w:t>
      </w:r>
      <w:r w:rsidR="00F65304" w:rsidRPr="00F65304">
        <w:rPr>
          <w:rFonts w:ascii="Times New Roman" w:hAnsi="Times New Roman"/>
          <w:u w:color="0000FF"/>
          <w:lang w:val="et-EE"/>
        </w:rPr>
        <w:t>5885 1468</w:t>
      </w:r>
      <w:r w:rsidRPr="00215ABE">
        <w:rPr>
          <w:rFonts w:ascii="Times New Roman" w:hAnsi="Times New Roman"/>
          <w:u w:color="0000FF"/>
          <w:lang w:val="et-EE"/>
        </w:rPr>
        <w:t xml:space="preserve">, </w:t>
      </w:r>
      <w:hyperlink r:id="rId15" w:history="1">
        <w:r w:rsidRPr="00215ABE">
          <w:rPr>
            <w:rStyle w:val="Hperlink"/>
            <w:rFonts w:ascii="Times New Roman" w:hAnsi="Times New Roman"/>
            <w:u w:color="0000FF"/>
            <w:lang w:val="et-EE"/>
          </w:rPr>
          <w:t>sirje.lilover@fin.ee</w:t>
        </w:r>
      </w:hyperlink>
      <w:r w:rsidRPr="00215ABE">
        <w:rPr>
          <w:rFonts w:ascii="Times New Roman" w:hAnsi="Times New Roman"/>
          <w:u w:color="0000FF"/>
          <w:lang w:val="et-EE"/>
        </w:rPr>
        <w:t>)</w:t>
      </w:r>
      <w:r w:rsidRPr="00215ABE">
        <w:rPr>
          <w:rFonts w:ascii="Times New Roman" w:hAnsi="Times New Roman"/>
          <w:lang w:val="et-EE"/>
        </w:rPr>
        <w:t>.</w:t>
      </w:r>
      <w:r w:rsidR="002A336B" w:rsidRPr="006D1FDB">
        <w:rPr>
          <w:rFonts w:ascii="Times New Roman" w:hAnsi="Times New Roman"/>
          <w:lang w:val="et-EE"/>
        </w:rPr>
        <w:t xml:space="preserve"> </w:t>
      </w:r>
    </w:p>
    <w:p w14:paraId="1EFBECEE" w14:textId="77777777" w:rsidR="00632C05" w:rsidRPr="006D1FDB" w:rsidRDefault="00632C05" w:rsidP="00D32BED">
      <w:pPr>
        <w:widowControl w:val="0"/>
        <w:autoSpaceDE w:val="0"/>
        <w:autoSpaceDN w:val="0"/>
        <w:adjustRightInd w:val="0"/>
        <w:jc w:val="both"/>
        <w:rPr>
          <w:rFonts w:ascii="Times New Roman" w:hAnsi="Times New Roman"/>
          <w:lang w:val="et-EE"/>
        </w:rPr>
      </w:pPr>
    </w:p>
    <w:p w14:paraId="41BD1F55" w14:textId="77777777" w:rsidR="00AE3C65" w:rsidRPr="006D1FDB" w:rsidRDefault="001F1132" w:rsidP="00D32BED">
      <w:pPr>
        <w:widowControl w:val="0"/>
        <w:autoSpaceDE w:val="0"/>
        <w:autoSpaceDN w:val="0"/>
        <w:adjustRightInd w:val="0"/>
        <w:jc w:val="both"/>
        <w:rPr>
          <w:rFonts w:ascii="Times New Roman" w:hAnsi="Times New Roman"/>
          <w:b/>
          <w:bCs/>
          <w:u w:color="0000FF"/>
          <w:lang w:val="et-EE"/>
        </w:rPr>
      </w:pPr>
      <w:commentRangeStart w:id="1"/>
      <w:r w:rsidRPr="006D1FDB">
        <w:rPr>
          <w:rFonts w:ascii="Times New Roman" w:hAnsi="Times New Roman"/>
          <w:b/>
          <w:bCs/>
          <w:u w:color="0000FF"/>
          <w:lang w:val="et-EE"/>
        </w:rPr>
        <w:t>1.</w:t>
      </w:r>
      <w:r w:rsidR="00951095" w:rsidRPr="006D1FDB">
        <w:rPr>
          <w:rFonts w:ascii="Times New Roman" w:hAnsi="Times New Roman"/>
          <w:b/>
          <w:bCs/>
          <w:u w:color="0000FF"/>
          <w:lang w:val="et-EE"/>
        </w:rPr>
        <w:t>3</w:t>
      </w:r>
      <w:r w:rsidRPr="006D1FDB">
        <w:rPr>
          <w:rFonts w:ascii="Times New Roman" w:hAnsi="Times New Roman"/>
          <w:b/>
          <w:bCs/>
          <w:u w:color="0000FF"/>
          <w:lang w:val="et-EE"/>
        </w:rPr>
        <w:t xml:space="preserve">. </w:t>
      </w:r>
      <w:r w:rsidR="00AE3C65" w:rsidRPr="006D1FDB">
        <w:rPr>
          <w:rFonts w:ascii="Times New Roman" w:hAnsi="Times New Roman"/>
          <w:b/>
          <w:bCs/>
          <w:u w:color="0000FF"/>
          <w:lang w:val="et-EE"/>
        </w:rPr>
        <w:t>Märkused</w:t>
      </w:r>
      <w:commentRangeEnd w:id="1"/>
      <w:r w:rsidR="00512E54">
        <w:rPr>
          <w:rStyle w:val="Kommentaariviide"/>
          <w:szCs w:val="20"/>
        </w:rPr>
        <w:commentReference w:id="1"/>
      </w:r>
    </w:p>
    <w:p w14:paraId="0F67D48D" w14:textId="6AC73150" w:rsidR="002A336B" w:rsidRPr="006D07D7" w:rsidRDefault="00AE3C65" w:rsidP="00D32BED">
      <w:pPr>
        <w:widowControl w:val="0"/>
        <w:autoSpaceDE w:val="0"/>
        <w:autoSpaceDN w:val="0"/>
        <w:adjustRightInd w:val="0"/>
        <w:jc w:val="both"/>
        <w:rPr>
          <w:rFonts w:ascii="Times New Roman" w:hAnsi="Times New Roman"/>
          <w:lang w:val="et-EE"/>
        </w:rPr>
      </w:pPr>
      <w:r w:rsidRPr="00215ABE">
        <w:rPr>
          <w:rFonts w:ascii="Times New Roman" w:hAnsi="Times New Roman"/>
          <w:u w:color="0000FF"/>
          <w:lang w:val="et-EE"/>
        </w:rPr>
        <w:t>Eelnõuga muudetakse</w:t>
      </w:r>
      <w:r w:rsidR="00CF18C0" w:rsidRPr="00215ABE">
        <w:rPr>
          <w:rFonts w:ascii="Times New Roman" w:hAnsi="Times New Roman"/>
          <w:u w:color="0000FF"/>
          <w:lang w:val="et-EE"/>
        </w:rPr>
        <w:t xml:space="preserve"> kogumispensionide </w:t>
      </w:r>
      <w:r w:rsidR="008C5592" w:rsidRPr="00215ABE">
        <w:rPr>
          <w:rFonts w:ascii="Times New Roman" w:hAnsi="Times New Roman"/>
          <w:u w:color="0000FF"/>
          <w:lang w:val="et-EE"/>
        </w:rPr>
        <w:t>seadus</w:t>
      </w:r>
      <w:r w:rsidR="006F3AC2" w:rsidRPr="00215ABE">
        <w:rPr>
          <w:rFonts w:ascii="Times New Roman" w:hAnsi="Times New Roman"/>
          <w:u w:color="0000FF"/>
          <w:lang w:val="et-EE"/>
        </w:rPr>
        <w:t>t</w:t>
      </w:r>
      <w:r w:rsidR="000D41A0">
        <w:rPr>
          <w:rFonts w:ascii="Times New Roman" w:hAnsi="Times New Roman"/>
          <w:u w:color="0000FF"/>
          <w:lang w:val="et-EE"/>
        </w:rPr>
        <w:t xml:space="preserve"> (KoPS)</w:t>
      </w:r>
      <w:r w:rsidR="00747A59" w:rsidRPr="00215ABE">
        <w:rPr>
          <w:rFonts w:ascii="Times New Roman" w:hAnsi="Times New Roman"/>
          <w:lang w:val="et-EE"/>
        </w:rPr>
        <w:t xml:space="preserve"> (</w:t>
      </w:r>
      <w:r w:rsidR="005531F0" w:rsidRPr="006D1FDB">
        <w:rPr>
          <w:rFonts w:ascii="Times New Roman" w:hAnsi="Times New Roman"/>
          <w:lang w:val="et-EE"/>
        </w:rPr>
        <w:t>RT I, 06.07.2023, 45</w:t>
      </w:r>
      <w:r w:rsidR="00747A59" w:rsidRPr="00215ABE">
        <w:rPr>
          <w:rFonts w:ascii="Times New Roman" w:hAnsi="Times New Roman"/>
          <w:lang w:val="et-EE"/>
        </w:rPr>
        <w:t>),</w:t>
      </w:r>
      <w:r w:rsidR="00A74A3E" w:rsidRPr="00215ABE">
        <w:rPr>
          <w:rFonts w:ascii="Times New Roman" w:hAnsi="Times New Roman"/>
          <w:lang w:val="et-EE"/>
        </w:rPr>
        <w:t xml:space="preserve"> investeerimisfondide seadus</w:t>
      </w:r>
      <w:r w:rsidR="00747A59" w:rsidRPr="00215ABE">
        <w:rPr>
          <w:rFonts w:ascii="Times New Roman" w:hAnsi="Times New Roman"/>
          <w:lang w:val="et-EE"/>
        </w:rPr>
        <w:t>t</w:t>
      </w:r>
      <w:r w:rsidR="00A74A3E" w:rsidRPr="00215ABE">
        <w:rPr>
          <w:rFonts w:ascii="Times New Roman" w:hAnsi="Times New Roman"/>
          <w:lang w:val="et-EE"/>
        </w:rPr>
        <w:t xml:space="preserve"> (IFS) (</w:t>
      </w:r>
      <w:r w:rsidR="005531F0" w:rsidRPr="006D1FDB">
        <w:rPr>
          <w:rFonts w:ascii="Times New Roman" w:hAnsi="Times New Roman"/>
          <w:lang w:val="et-EE"/>
        </w:rPr>
        <w:t>RT I, 06.07.2023, 34</w:t>
      </w:r>
      <w:r w:rsidR="00A74A3E" w:rsidRPr="00215ABE">
        <w:rPr>
          <w:rFonts w:ascii="Times New Roman" w:hAnsi="Times New Roman"/>
          <w:lang w:val="et-EE"/>
        </w:rPr>
        <w:t>)</w:t>
      </w:r>
      <w:r w:rsidR="006F3AC2" w:rsidRPr="00215ABE">
        <w:rPr>
          <w:rFonts w:ascii="Times New Roman" w:hAnsi="Times New Roman"/>
          <w:lang w:val="et-EE"/>
        </w:rPr>
        <w:t>, kindlustustegevuse seadust (KindlTS) (</w:t>
      </w:r>
      <w:r w:rsidR="006D1FDB" w:rsidRPr="006D1FDB">
        <w:rPr>
          <w:rFonts w:ascii="Times New Roman" w:hAnsi="Times New Roman"/>
          <w:lang w:val="et-EE"/>
        </w:rPr>
        <w:t xml:space="preserve">RT I, </w:t>
      </w:r>
      <w:r w:rsidR="0052161D" w:rsidRPr="0052161D">
        <w:rPr>
          <w:rFonts w:ascii="Times New Roman" w:hAnsi="Times New Roman"/>
          <w:lang w:val="et-EE"/>
        </w:rPr>
        <w:t>17.03.2023, 12</w:t>
      </w:r>
      <w:r w:rsidR="006F3AC2" w:rsidRPr="00215ABE">
        <w:rPr>
          <w:rFonts w:ascii="Times New Roman" w:hAnsi="Times New Roman"/>
          <w:lang w:val="et-EE"/>
        </w:rPr>
        <w:t>), krediidiasutuste seadust (KAS) (</w:t>
      </w:r>
      <w:r w:rsidR="006D1FDB" w:rsidRPr="006D1FDB">
        <w:rPr>
          <w:rFonts w:ascii="Times New Roman" w:hAnsi="Times New Roman"/>
          <w:lang w:val="et-EE"/>
        </w:rPr>
        <w:t>RT I, 17.03.2023, 17</w:t>
      </w:r>
      <w:r w:rsidR="006F3AC2" w:rsidRPr="00215ABE">
        <w:rPr>
          <w:rFonts w:ascii="Times New Roman" w:hAnsi="Times New Roman"/>
          <w:lang w:val="et-EE"/>
        </w:rPr>
        <w:t xml:space="preserve">), </w:t>
      </w:r>
      <w:r w:rsidR="00747A59" w:rsidRPr="00215ABE">
        <w:rPr>
          <w:rFonts w:ascii="Times New Roman" w:hAnsi="Times New Roman"/>
          <w:lang w:val="et-EE"/>
        </w:rPr>
        <w:t xml:space="preserve"> tulumaksuseadust (TuMS) (</w:t>
      </w:r>
      <w:r w:rsidR="0052161D">
        <w:rPr>
          <w:rFonts w:ascii="Times New Roman" w:hAnsi="Times New Roman"/>
          <w:lang w:val="et-EE"/>
        </w:rPr>
        <w:t xml:space="preserve">01.07.2025 jõustuv </w:t>
      </w:r>
      <w:r w:rsidR="004305AB">
        <w:rPr>
          <w:rFonts w:ascii="Times New Roman" w:hAnsi="Times New Roman"/>
          <w:lang w:val="et-EE"/>
        </w:rPr>
        <w:t xml:space="preserve">ja kuni 31.12.2025 kehtiv </w:t>
      </w:r>
      <w:r w:rsidR="0052161D">
        <w:rPr>
          <w:rFonts w:ascii="Times New Roman" w:hAnsi="Times New Roman"/>
          <w:lang w:val="et-EE"/>
        </w:rPr>
        <w:t>redaktsioon</w:t>
      </w:r>
      <w:r w:rsidR="006D1FDB" w:rsidRPr="006D1FDB">
        <w:rPr>
          <w:rFonts w:ascii="Times New Roman" w:hAnsi="Times New Roman"/>
          <w:lang w:val="et-EE"/>
        </w:rPr>
        <w:t xml:space="preserve"> </w:t>
      </w:r>
      <w:r w:rsidR="004305AB">
        <w:rPr>
          <w:rFonts w:ascii="Times New Roman" w:hAnsi="Times New Roman"/>
          <w:lang w:val="et-EE"/>
        </w:rPr>
        <w:t xml:space="preserve">RT </w:t>
      </w:r>
      <w:r w:rsidR="006D1FDB" w:rsidRPr="006D1FDB">
        <w:rPr>
          <w:rFonts w:ascii="Times New Roman" w:hAnsi="Times New Roman"/>
          <w:lang w:val="et-EE"/>
        </w:rPr>
        <w:t>I,</w:t>
      </w:r>
      <w:r w:rsidR="0052161D" w:rsidRPr="0052161D">
        <w:rPr>
          <w:rFonts w:ascii="Times New Roman" w:hAnsi="Times New Roman"/>
          <w:lang w:val="et-EE"/>
        </w:rPr>
        <w:t xml:space="preserve"> 02.05.2024, 15</w:t>
      </w:r>
      <w:r w:rsidR="00747A59" w:rsidRPr="00215ABE">
        <w:rPr>
          <w:rFonts w:ascii="Times New Roman" w:hAnsi="Times New Roman"/>
          <w:lang w:val="et-EE"/>
        </w:rPr>
        <w:t>)</w:t>
      </w:r>
      <w:r w:rsidR="006F3AC2" w:rsidRPr="00215ABE">
        <w:rPr>
          <w:rFonts w:ascii="Times New Roman" w:hAnsi="Times New Roman"/>
          <w:lang w:val="et-EE"/>
        </w:rPr>
        <w:t xml:space="preserve"> ja väärtpaberituru seadust (V</w:t>
      </w:r>
      <w:r w:rsidR="00C3086E">
        <w:rPr>
          <w:rFonts w:ascii="Times New Roman" w:hAnsi="Times New Roman"/>
          <w:lang w:val="et-EE"/>
        </w:rPr>
        <w:t>P</w:t>
      </w:r>
      <w:r w:rsidR="006F3AC2" w:rsidRPr="00215ABE">
        <w:rPr>
          <w:rFonts w:ascii="Times New Roman" w:hAnsi="Times New Roman"/>
          <w:lang w:val="et-EE"/>
        </w:rPr>
        <w:t>TS) (</w:t>
      </w:r>
      <w:r w:rsidR="006D1FDB" w:rsidRPr="006D1FDB">
        <w:rPr>
          <w:rFonts w:ascii="Times New Roman" w:hAnsi="Times New Roman"/>
          <w:lang w:val="et-EE"/>
        </w:rPr>
        <w:t>RT I, 06.07.2023, 128</w:t>
      </w:r>
      <w:r w:rsidR="006F3AC2" w:rsidRPr="00215ABE">
        <w:rPr>
          <w:rFonts w:ascii="Times New Roman" w:hAnsi="Times New Roman"/>
          <w:lang w:val="et-EE"/>
        </w:rPr>
        <w:t>)</w:t>
      </w:r>
      <w:r w:rsidR="006D07D7" w:rsidRPr="00215ABE">
        <w:rPr>
          <w:rFonts w:ascii="Times New Roman" w:hAnsi="Times New Roman"/>
          <w:lang w:val="et-EE"/>
        </w:rPr>
        <w:t>.</w:t>
      </w:r>
      <w:r w:rsidR="009B4DA7" w:rsidRPr="006D07D7">
        <w:rPr>
          <w:rFonts w:ascii="Times New Roman" w:hAnsi="Times New Roman"/>
          <w:lang w:val="et-EE"/>
        </w:rPr>
        <w:t xml:space="preserve"> </w:t>
      </w:r>
    </w:p>
    <w:p w14:paraId="0FE4A15D" w14:textId="06F88FDB" w:rsidR="0055464A" w:rsidRDefault="0055464A" w:rsidP="00D32BED">
      <w:pPr>
        <w:widowControl w:val="0"/>
        <w:autoSpaceDE w:val="0"/>
        <w:autoSpaceDN w:val="0"/>
        <w:adjustRightInd w:val="0"/>
        <w:jc w:val="both"/>
        <w:rPr>
          <w:rFonts w:ascii="Times New Roman" w:hAnsi="Times New Roman"/>
        </w:rPr>
      </w:pPr>
    </w:p>
    <w:p w14:paraId="2E6DCFD7" w14:textId="77777777" w:rsidR="008E6FFD" w:rsidRPr="008E6FFD" w:rsidRDefault="008E6FFD" w:rsidP="00D32BED">
      <w:pPr>
        <w:widowControl w:val="0"/>
        <w:autoSpaceDE w:val="0"/>
        <w:autoSpaceDN w:val="0"/>
        <w:adjustRightInd w:val="0"/>
        <w:jc w:val="both"/>
        <w:rPr>
          <w:rFonts w:ascii="Times New Roman" w:hAnsi="Times New Roman"/>
          <w:b/>
          <w:bCs/>
          <w:lang w:val="et-EE"/>
        </w:rPr>
      </w:pPr>
      <w:r w:rsidRPr="008E6FFD">
        <w:rPr>
          <w:rFonts w:ascii="Times New Roman" w:hAnsi="Times New Roman"/>
          <w:b/>
          <w:bCs/>
          <w:lang w:val="et-EE"/>
        </w:rPr>
        <w:t>Eelnõu seotus muu menetluses oleva eelnõuga</w:t>
      </w:r>
    </w:p>
    <w:p w14:paraId="45CB2866" w14:textId="6E07547C" w:rsidR="008E6FFD" w:rsidRPr="008E6FFD" w:rsidRDefault="008E6FFD" w:rsidP="00D32BED">
      <w:pPr>
        <w:widowControl w:val="0"/>
        <w:autoSpaceDE w:val="0"/>
        <w:autoSpaceDN w:val="0"/>
        <w:adjustRightInd w:val="0"/>
        <w:jc w:val="both"/>
        <w:rPr>
          <w:rFonts w:ascii="Times New Roman" w:hAnsi="Times New Roman"/>
          <w:lang w:val="et-EE"/>
        </w:rPr>
      </w:pPr>
      <w:commentRangeStart w:id="2"/>
      <w:r w:rsidRPr="008E6FFD">
        <w:rPr>
          <w:rFonts w:ascii="Times New Roman" w:hAnsi="Times New Roman"/>
          <w:lang w:val="et-EE"/>
        </w:rPr>
        <w:t>Eelnõu ei ole seotud muu menetluses oleva eelnõuga</w:t>
      </w:r>
      <w:r>
        <w:rPr>
          <w:rFonts w:ascii="Times New Roman" w:hAnsi="Times New Roman"/>
          <w:lang w:val="et-EE"/>
        </w:rPr>
        <w:t xml:space="preserve"> </w:t>
      </w:r>
      <w:commentRangeEnd w:id="2"/>
      <w:r w:rsidR="00760D04">
        <w:rPr>
          <w:rStyle w:val="Kommentaariviide"/>
          <w:szCs w:val="20"/>
        </w:rPr>
        <w:commentReference w:id="2"/>
      </w:r>
      <w:r>
        <w:rPr>
          <w:rFonts w:ascii="Times New Roman" w:hAnsi="Times New Roman"/>
          <w:lang w:val="et-EE"/>
        </w:rPr>
        <w:t xml:space="preserve">ega </w:t>
      </w:r>
      <w:r w:rsidRPr="008E6FFD">
        <w:rPr>
          <w:rFonts w:ascii="Times New Roman" w:hAnsi="Times New Roman"/>
          <w:lang w:val="et-EE"/>
        </w:rPr>
        <w:t>Vabariigi Valitsuse tegevusprogrammiga</w:t>
      </w:r>
      <w:r>
        <w:rPr>
          <w:rFonts w:ascii="Times New Roman" w:hAnsi="Times New Roman"/>
          <w:lang w:val="et-EE"/>
        </w:rPr>
        <w:t>.</w:t>
      </w:r>
    </w:p>
    <w:p w14:paraId="58ED4FA5" w14:textId="77777777" w:rsidR="008E6FFD" w:rsidRDefault="008E6FFD" w:rsidP="00D32BED">
      <w:pPr>
        <w:widowControl w:val="0"/>
        <w:autoSpaceDE w:val="0"/>
        <w:autoSpaceDN w:val="0"/>
        <w:adjustRightInd w:val="0"/>
        <w:jc w:val="both"/>
        <w:rPr>
          <w:rFonts w:ascii="Times New Roman" w:hAnsi="Times New Roman"/>
          <w:u w:color="0000FF"/>
          <w:lang w:val="et-EE"/>
        </w:rPr>
      </w:pPr>
    </w:p>
    <w:p w14:paraId="1E2D5A73" w14:textId="77777777" w:rsidR="008E6FFD" w:rsidRPr="008E6FFD" w:rsidRDefault="008E6FFD" w:rsidP="00D32BED">
      <w:pPr>
        <w:widowControl w:val="0"/>
        <w:autoSpaceDE w:val="0"/>
        <w:autoSpaceDN w:val="0"/>
        <w:adjustRightInd w:val="0"/>
        <w:jc w:val="both"/>
        <w:rPr>
          <w:rFonts w:ascii="Times New Roman" w:hAnsi="Times New Roman"/>
          <w:b/>
          <w:bCs/>
          <w:lang w:val="et-EE"/>
        </w:rPr>
      </w:pPr>
      <w:r w:rsidRPr="008E6FFD">
        <w:rPr>
          <w:rFonts w:ascii="Times New Roman" w:hAnsi="Times New Roman"/>
          <w:b/>
          <w:bCs/>
          <w:lang w:val="et-EE"/>
        </w:rPr>
        <w:t>Eelnõu seotus Euroopa Liidu õiguse rakendamisega</w:t>
      </w:r>
    </w:p>
    <w:p w14:paraId="5830EF25" w14:textId="42661086" w:rsidR="00101CAD" w:rsidRDefault="00747A59" w:rsidP="00D32BED">
      <w:pPr>
        <w:widowControl w:val="0"/>
        <w:autoSpaceDE w:val="0"/>
        <w:autoSpaceDN w:val="0"/>
        <w:adjustRightInd w:val="0"/>
        <w:jc w:val="both"/>
        <w:rPr>
          <w:rFonts w:ascii="Times New Roman" w:hAnsi="Times New Roman"/>
          <w:u w:color="0000FF"/>
          <w:lang w:val="et-EE"/>
        </w:rPr>
      </w:pPr>
      <w:r>
        <w:rPr>
          <w:rFonts w:ascii="Times New Roman" w:hAnsi="Times New Roman"/>
          <w:u w:color="0000FF"/>
          <w:lang w:val="et-EE"/>
        </w:rPr>
        <w:t>Eelnõu omab puutumust</w:t>
      </w:r>
      <w:r w:rsidR="00101CAD">
        <w:rPr>
          <w:rFonts w:ascii="Times New Roman" w:hAnsi="Times New Roman"/>
          <w:u w:color="0000FF"/>
          <w:lang w:val="et-EE"/>
        </w:rPr>
        <w:t xml:space="preserve"> </w:t>
      </w:r>
      <w:r w:rsidR="00C1073B">
        <w:rPr>
          <w:rFonts w:ascii="Times New Roman" w:hAnsi="Times New Roman"/>
          <w:u w:color="0000FF"/>
          <w:lang w:val="et-EE"/>
        </w:rPr>
        <w:t>viie</w:t>
      </w:r>
      <w:r w:rsidR="00101CAD">
        <w:rPr>
          <w:rFonts w:ascii="Times New Roman" w:hAnsi="Times New Roman"/>
          <w:u w:color="0000FF"/>
          <w:lang w:val="et-EE"/>
        </w:rPr>
        <w:t xml:space="preserve"> Euroopa Liidu õigusaktiga:</w:t>
      </w:r>
    </w:p>
    <w:p w14:paraId="2D2585DD" w14:textId="703B9BB2" w:rsidR="00101CAD" w:rsidRDefault="00101CAD" w:rsidP="00D32BED">
      <w:pPr>
        <w:pStyle w:val="Loendilik"/>
        <w:widowControl w:val="0"/>
        <w:numPr>
          <w:ilvl w:val="0"/>
          <w:numId w:val="11"/>
        </w:numPr>
        <w:autoSpaceDE w:val="0"/>
        <w:autoSpaceDN w:val="0"/>
        <w:adjustRightInd w:val="0"/>
        <w:spacing w:after="0" w:line="240" w:lineRule="auto"/>
        <w:ind w:left="360"/>
        <w:jc w:val="both"/>
        <w:rPr>
          <w:rFonts w:ascii="Times New Roman" w:hAnsi="Times New Roman"/>
          <w:sz w:val="24"/>
          <w:szCs w:val="24"/>
          <w:u w:color="0000FF"/>
        </w:rPr>
      </w:pPr>
      <w:r w:rsidRPr="00215ABE">
        <w:rPr>
          <w:rFonts w:ascii="Times New Roman" w:hAnsi="Times New Roman"/>
          <w:sz w:val="24"/>
          <w:szCs w:val="24"/>
          <w:u w:color="0000FF"/>
        </w:rPr>
        <w:t>IFS-i lisatakse norm, millega kohaldatakse kohustuslikele pensionifondidele</w:t>
      </w:r>
      <w:r w:rsidR="00747A59" w:rsidRPr="00215ABE">
        <w:rPr>
          <w:rFonts w:ascii="Times New Roman" w:hAnsi="Times New Roman"/>
          <w:sz w:val="24"/>
          <w:szCs w:val="24"/>
          <w:u w:color="0000FF"/>
        </w:rPr>
        <w:t xml:space="preserve"> Euroopa Parlamendi ja nõukogu määrust (EL) 2019/2088, mis käsitleb jätkusuutlikkust käsitleva teabe avalikustamist finantsteenuste sektoris</w:t>
      </w:r>
      <w:r w:rsidR="00C5378E" w:rsidRPr="00215ABE">
        <w:rPr>
          <w:rFonts w:ascii="Times New Roman" w:hAnsi="Times New Roman"/>
          <w:sz w:val="24"/>
          <w:szCs w:val="24"/>
          <w:u w:color="0000FF"/>
        </w:rPr>
        <w:t xml:space="preserve"> (</w:t>
      </w:r>
      <w:r w:rsidR="00C5378E" w:rsidRPr="00215ABE">
        <w:rPr>
          <w:rFonts w:ascii="Times New Roman" w:hAnsi="Times New Roman"/>
          <w:i/>
          <w:iCs/>
          <w:sz w:val="24"/>
          <w:szCs w:val="24"/>
          <w:u w:color="0000FF"/>
        </w:rPr>
        <w:t>edaspidi määrus 2019/2088</w:t>
      </w:r>
      <w:r w:rsidR="00C5378E" w:rsidRPr="00215ABE">
        <w:rPr>
          <w:rFonts w:ascii="Times New Roman" w:hAnsi="Times New Roman"/>
          <w:sz w:val="24"/>
          <w:szCs w:val="24"/>
          <w:u w:color="0000FF"/>
        </w:rPr>
        <w:t>)</w:t>
      </w:r>
      <w:r w:rsidR="00747A59" w:rsidRPr="00215ABE">
        <w:rPr>
          <w:rFonts w:ascii="Times New Roman" w:hAnsi="Times New Roman"/>
          <w:sz w:val="24"/>
          <w:szCs w:val="24"/>
          <w:u w:color="0000FF"/>
        </w:rPr>
        <w:t xml:space="preserve">, ning </w:t>
      </w:r>
      <w:r w:rsidRPr="00215ABE">
        <w:rPr>
          <w:rFonts w:ascii="Times New Roman" w:hAnsi="Times New Roman"/>
          <w:sz w:val="24"/>
          <w:szCs w:val="24"/>
          <w:u w:color="0000FF"/>
        </w:rPr>
        <w:t xml:space="preserve">sellest tulenevalt ka määrust </w:t>
      </w:r>
      <w:r w:rsidR="00747A59" w:rsidRPr="00215ABE">
        <w:rPr>
          <w:rFonts w:ascii="Times New Roman" w:hAnsi="Times New Roman"/>
          <w:sz w:val="24"/>
          <w:szCs w:val="24"/>
          <w:u w:color="0000FF"/>
        </w:rPr>
        <w:t>(EL) 2020/852, millega kehtestatakse kestlike investeeringute hõlbustamise raamistik ja muudetakse määrust (EL) 2019/2088</w:t>
      </w:r>
      <w:r w:rsidR="00C5378E" w:rsidRPr="00215ABE">
        <w:rPr>
          <w:rFonts w:ascii="Times New Roman" w:hAnsi="Times New Roman"/>
          <w:sz w:val="24"/>
          <w:szCs w:val="24"/>
          <w:u w:color="0000FF"/>
        </w:rPr>
        <w:t xml:space="preserve"> (</w:t>
      </w:r>
      <w:r w:rsidR="00C5378E" w:rsidRPr="00215ABE">
        <w:rPr>
          <w:rFonts w:ascii="Times New Roman" w:hAnsi="Times New Roman"/>
          <w:i/>
          <w:iCs/>
          <w:sz w:val="24"/>
          <w:szCs w:val="24"/>
          <w:u w:color="0000FF"/>
        </w:rPr>
        <w:t>edaspidi määrus 2020/852</w:t>
      </w:r>
      <w:r w:rsidR="00C5378E" w:rsidRPr="00215ABE">
        <w:rPr>
          <w:rFonts w:ascii="Times New Roman" w:hAnsi="Times New Roman"/>
          <w:sz w:val="24"/>
          <w:szCs w:val="24"/>
          <w:u w:color="0000FF"/>
        </w:rPr>
        <w:t>)</w:t>
      </w:r>
      <w:r w:rsidR="00747A59" w:rsidRPr="00215ABE">
        <w:rPr>
          <w:rFonts w:ascii="Times New Roman" w:hAnsi="Times New Roman"/>
          <w:sz w:val="24"/>
          <w:szCs w:val="24"/>
          <w:u w:color="0000FF"/>
        </w:rPr>
        <w:t>.</w:t>
      </w:r>
      <w:r w:rsidR="00D14FA4" w:rsidRPr="00215ABE">
        <w:rPr>
          <w:rFonts w:ascii="Times New Roman" w:hAnsi="Times New Roman"/>
          <w:sz w:val="24"/>
          <w:szCs w:val="24"/>
          <w:u w:color="0000FF"/>
        </w:rPr>
        <w:t xml:space="preserve"> </w:t>
      </w:r>
    </w:p>
    <w:p w14:paraId="5D3F08E0" w14:textId="77777777" w:rsidR="00D32BED" w:rsidRPr="00215ABE" w:rsidRDefault="00D32BED" w:rsidP="00D32BED">
      <w:pPr>
        <w:pStyle w:val="Loendilik"/>
        <w:widowControl w:val="0"/>
        <w:autoSpaceDE w:val="0"/>
        <w:autoSpaceDN w:val="0"/>
        <w:adjustRightInd w:val="0"/>
        <w:spacing w:after="0" w:line="240" w:lineRule="auto"/>
        <w:ind w:left="360"/>
        <w:jc w:val="both"/>
        <w:rPr>
          <w:rFonts w:ascii="Times New Roman" w:hAnsi="Times New Roman"/>
          <w:sz w:val="24"/>
          <w:szCs w:val="24"/>
          <w:u w:color="0000FF"/>
        </w:rPr>
      </w:pPr>
    </w:p>
    <w:p w14:paraId="369CDBE5" w14:textId="1EDD221C" w:rsidR="00101CAD" w:rsidRPr="00215ABE" w:rsidRDefault="00D14FA4" w:rsidP="00D32BED">
      <w:pPr>
        <w:pStyle w:val="Loendilik"/>
        <w:widowControl w:val="0"/>
        <w:autoSpaceDE w:val="0"/>
        <w:autoSpaceDN w:val="0"/>
        <w:adjustRightInd w:val="0"/>
        <w:spacing w:after="0" w:line="240" w:lineRule="auto"/>
        <w:ind w:left="360"/>
        <w:jc w:val="both"/>
        <w:rPr>
          <w:rFonts w:ascii="Times New Roman" w:hAnsi="Times New Roman"/>
          <w:sz w:val="24"/>
          <w:szCs w:val="24"/>
          <w:u w:color="0000FF"/>
        </w:rPr>
      </w:pPr>
      <w:r w:rsidRPr="00215ABE">
        <w:rPr>
          <w:rFonts w:ascii="Times New Roman" w:hAnsi="Times New Roman"/>
          <w:sz w:val="24"/>
          <w:szCs w:val="24"/>
          <w:u w:color="0000FF"/>
        </w:rPr>
        <w:t xml:space="preserve">Määrusega 2019/2088 sätestatakse finantsturu osalistele ja finantsnõustajatele ühtsed läbipaistvuse normid, mis käsitlevad jätkusuutlikkusriskide lõimimist ja negatiivse jätkusuutlikkuse alase mõjuga arvestamist nende protsessides ning finantstoodete kohta jätkusuutlikkusega seotud teabe esitamist ja avalikustamist. </w:t>
      </w:r>
      <w:r w:rsidR="00236C91" w:rsidRPr="00215ABE">
        <w:rPr>
          <w:rFonts w:ascii="Times New Roman" w:hAnsi="Times New Roman"/>
          <w:sz w:val="24"/>
          <w:szCs w:val="24"/>
          <w:u w:color="0000FF"/>
        </w:rPr>
        <w:t xml:space="preserve">See määrus täiendab teabe avalikustamise ja esitamise nõudeid, mis on sätestatud erinevates finantssektori direktiivides või Euroopa Liidu (EL) määrustes (direktiivid 2009/65/EÜ, 2009/138/EÜ, </w:t>
      </w:r>
      <w:r w:rsidR="00236C91" w:rsidRPr="00215ABE">
        <w:rPr>
          <w:rFonts w:ascii="Times New Roman" w:hAnsi="Times New Roman"/>
          <w:sz w:val="24"/>
          <w:szCs w:val="24"/>
          <w:u w:color="0000FF"/>
        </w:rPr>
        <w:lastRenderedPageBreak/>
        <w:t>2011/61/EL, 2014/65/EL, (EL) 2016/97 ja (EL) 2016/2341 ning määrused (EL) nr 345/2013, (EL) nr 346/2013, (EL) 2015/760 ja (EL) 2019/1238), aga ka personaalseid ja erapensionitooteid reguleerivates riigisisestes õigusaktides sätestatud norme. Määrus 2019/2088 ei muuda põhimõtet, et finantssektori turuosalistel tuleb tegutseda oma klientide parimates huvides. Finantssektor peab oma protsessides, sh hoolsuskohustuse täitmist puudutavates protsessides, arvestama kõiki asjakohaseid finantsriske</w:t>
      </w:r>
      <w:r w:rsidR="00871190" w:rsidRPr="00215ABE">
        <w:rPr>
          <w:rFonts w:ascii="Times New Roman" w:hAnsi="Times New Roman"/>
          <w:sz w:val="24"/>
          <w:szCs w:val="24"/>
          <w:u w:color="0000FF"/>
        </w:rPr>
        <w:t xml:space="preserve">, nüüd seal hulgas ka asjakohaseid  </w:t>
      </w:r>
      <w:r w:rsidR="00236C91" w:rsidRPr="00215ABE">
        <w:rPr>
          <w:rFonts w:ascii="Times New Roman" w:hAnsi="Times New Roman"/>
          <w:sz w:val="24"/>
          <w:szCs w:val="24"/>
          <w:u w:color="0000FF"/>
        </w:rPr>
        <w:t>jätkusuutlikkusriske, mi</w:t>
      </w:r>
      <w:r w:rsidR="00871190" w:rsidRPr="00215ABE">
        <w:rPr>
          <w:rFonts w:ascii="Times New Roman" w:hAnsi="Times New Roman"/>
          <w:sz w:val="24"/>
          <w:szCs w:val="24"/>
          <w:u w:color="0000FF"/>
        </w:rPr>
        <w:t xml:space="preserve">llel on </w:t>
      </w:r>
      <w:r w:rsidR="00236C91" w:rsidRPr="00215ABE">
        <w:rPr>
          <w:rFonts w:ascii="Times New Roman" w:hAnsi="Times New Roman"/>
          <w:sz w:val="24"/>
          <w:szCs w:val="24"/>
          <w:u w:color="0000FF"/>
        </w:rPr>
        <w:t>investeeringu</w:t>
      </w:r>
      <w:r w:rsidR="00871190" w:rsidRPr="00215ABE">
        <w:rPr>
          <w:rFonts w:ascii="Times New Roman" w:hAnsi="Times New Roman"/>
          <w:sz w:val="24"/>
          <w:szCs w:val="24"/>
          <w:u w:color="0000FF"/>
        </w:rPr>
        <w:t xml:space="preserve"> oodatavale tulule või klientidele antavatele soovitustele oluline mõju. Neid riske tuleb järjepidevalt hinnata ning sise-eeskirjades vastavad toimingud sätestada. Klientidele teenust osutades tuleb lepingueelse teabe osana </w:t>
      </w:r>
      <w:r w:rsidR="00124400" w:rsidRPr="00215ABE">
        <w:rPr>
          <w:rFonts w:ascii="Times New Roman" w:hAnsi="Times New Roman"/>
          <w:sz w:val="24"/>
          <w:szCs w:val="24"/>
          <w:u w:color="0000FF"/>
        </w:rPr>
        <w:t xml:space="preserve">muuhulgas </w:t>
      </w:r>
      <w:r w:rsidR="00871190" w:rsidRPr="00215ABE">
        <w:rPr>
          <w:rFonts w:ascii="Times New Roman" w:hAnsi="Times New Roman"/>
          <w:sz w:val="24"/>
          <w:szCs w:val="24"/>
          <w:u w:color="0000FF"/>
        </w:rPr>
        <w:t>käsitleda</w:t>
      </w:r>
      <w:r w:rsidR="00124400" w:rsidRPr="00215ABE">
        <w:rPr>
          <w:rFonts w:ascii="Times New Roman" w:hAnsi="Times New Roman"/>
          <w:sz w:val="24"/>
          <w:szCs w:val="24"/>
          <w:u w:color="0000FF"/>
        </w:rPr>
        <w:t xml:space="preserve"> ka</w:t>
      </w:r>
      <w:r w:rsidR="00871190" w:rsidRPr="00215ABE">
        <w:rPr>
          <w:rFonts w:ascii="Times New Roman" w:hAnsi="Times New Roman"/>
          <w:sz w:val="24"/>
          <w:szCs w:val="24"/>
          <w:u w:color="0000FF"/>
        </w:rPr>
        <w:t xml:space="preserve"> jätkusuutlikkusriskide hindamise tulemusi.    </w:t>
      </w:r>
      <w:r w:rsidR="00236C91" w:rsidRPr="00215ABE">
        <w:rPr>
          <w:rFonts w:ascii="Times New Roman" w:hAnsi="Times New Roman"/>
          <w:sz w:val="24"/>
          <w:szCs w:val="24"/>
          <w:u w:color="0000FF"/>
        </w:rPr>
        <w:t xml:space="preserve"> </w:t>
      </w:r>
    </w:p>
    <w:p w14:paraId="3E94176C" w14:textId="77777777" w:rsidR="00101CAD" w:rsidRPr="00215ABE" w:rsidRDefault="00101CAD" w:rsidP="00D32BED">
      <w:pPr>
        <w:pStyle w:val="Loendilik"/>
        <w:widowControl w:val="0"/>
        <w:autoSpaceDE w:val="0"/>
        <w:autoSpaceDN w:val="0"/>
        <w:adjustRightInd w:val="0"/>
        <w:spacing w:after="0" w:line="240" w:lineRule="auto"/>
        <w:ind w:left="0"/>
        <w:jc w:val="both"/>
        <w:rPr>
          <w:rFonts w:ascii="Times New Roman" w:hAnsi="Times New Roman"/>
          <w:sz w:val="24"/>
          <w:szCs w:val="24"/>
          <w:u w:color="0000FF"/>
        </w:rPr>
      </w:pPr>
    </w:p>
    <w:p w14:paraId="534D59C6" w14:textId="29A2FBAB" w:rsidR="00101CAD" w:rsidRPr="00215ABE" w:rsidRDefault="00871190" w:rsidP="00D32BED">
      <w:pPr>
        <w:pStyle w:val="Loendilik"/>
        <w:widowControl w:val="0"/>
        <w:autoSpaceDE w:val="0"/>
        <w:autoSpaceDN w:val="0"/>
        <w:adjustRightInd w:val="0"/>
        <w:spacing w:after="0" w:line="240" w:lineRule="auto"/>
        <w:ind w:left="360"/>
        <w:jc w:val="both"/>
        <w:rPr>
          <w:rFonts w:ascii="Times New Roman" w:hAnsi="Times New Roman"/>
          <w:sz w:val="24"/>
          <w:szCs w:val="24"/>
          <w:u w:color="0000FF"/>
        </w:rPr>
      </w:pPr>
      <w:r w:rsidRPr="00215ABE">
        <w:rPr>
          <w:rFonts w:ascii="Times New Roman" w:hAnsi="Times New Roman"/>
          <w:sz w:val="24"/>
          <w:szCs w:val="24"/>
          <w:u w:color="0000FF"/>
        </w:rPr>
        <w:t>M</w:t>
      </w:r>
      <w:r w:rsidR="00D14FA4" w:rsidRPr="00215ABE">
        <w:rPr>
          <w:rFonts w:ascii="Times New Roman" w:hAnsi="Times New Roman"/>
          <w:sz w:val="24"/>
          <w:szCs w:val="24"/>
          <w:u w:color="0000FF"/>
        </w:rPr>
        <w:t>ääruse</w:t>
      </w:r>
      <w:r w:rsidRPr="00215ABE">
        <w:rPr>
          <w:rFonts w:ascii="Times New Roman" w:hAnsi="Times New Roman"/>
          <w:sz w:val="24"/>
          <w:szCs w:val="24"/>
          <w:u w:color="0000FF"/>
        </w:rPr>
        <w:t xml:space="preserve"> 2019/2088 </w:t>
      </w:r>
      <w:r w:rsidR="00D14FA4" w:rsidRPr="00215ABE">
        <w:rPr>
          <w:rFonts w:ascii="Times New Roman" w:hAnsi="Times New Roman"/>
          <w:sz w:val="24"/>
          <w:szCs w:val="24"/>
          <w:u w:color="0000FF"/>
        </w:rPr>
        <w:t>artikli 16 kohaselt võivad liikmesriigid otsustada kohaldada määrust ka nende pensionitoodete väljatöötajate suhtes, kes haldavad riiklikke sotsiaalkindlustussüsteeme, mis kuuluvad määruste (EÜ) nr 883/2004 ja (EÜ) nr 987/2009 kohaldamisalasse.</w:t>
      </w:r>
      <w:r w:rsidR="001D1546" w:rsidRPr="00215ABE">
        <w:rPr>
          <w:rFonts w:ascii="Times New Roman" w:hAnsi="Times New Roman"/>
          <w:sz w:val="24"/>
          <w:szCs w:val="24"/>
          <w:u w:color="0000FF"/>
        </w:rPr>
        <w:t xml:space="preserve"> Eesti puhul hõlmavad need kohustuslike pensionifondide valitsejaid.</w:t>
      </w:r>
      <w:r w:rsidR="00D14FA4" w:rsidRPr="00215ABE">
        <w:rPr>
          <w:rFonts w:ascii="Times New Roman" w:hAnsi="Times New Roman"/>
          <w:sz w:val="24"/>
          <w:szCs w:val="24"/>
          <w:u w:color="0000FF"/>
        </w:rPr>
        <w:t xml:space="preserve"> </w:t>
      </w:r>
      <w:r w:rsidR="00E86CAE" w:rsidRPr="00215ABE">
        <w:rPr>
          <w:rFonts w:ascii="Times New Roman" w:hAnsi="Times New Roman"/>
          <w:sz w:val="24"/>
          <w:szCs w:val="24"/>
          <w:u w:color="0000FF"/>
        </w:rPr>
        <w:t xml:space="preserve">Vastavalt kõnealuse määruse artiklile 16 sätestataksegi eelnõuga, et pensionifondi valitseja on kohustatud </w:t>
      </w:r>
      <w:r w:rsidR="001D1546" w:rsidRPr="00215ABE">
        <w:rPr>
          <w:rFonts w:ascii="Times New Roman" w:hAnsi="Times New Roman"/>
          <w:sz w:val="24"/>
          <w:szCs w:val="24"/>
          <w:u w:color="0000FF"/>
        </w:rPr>
        <w:t xml:space="preserve">kohustusliku </w:t>
      </w:r>
      <w:r w:rsidR="006F3AC2" w:rsidRPr="00215ABE">
        <w:rPr>
          <w:rFonts w:ascii="Times New Roman" w:hAnsi="Times New Roman"/>
          <w:sz w:val="24"/>
          <w:szCs w:val="24"/>
          <w:u w:color="0000FF"/>
        </w:rPr>
        <w:t>pensioni</w:t>
      </w:r>
      <w:r w:rsidR="00E86CAE" w:rsidRPr="00215ABE">
        <w:rPr>
          <w:rFonts w:ascii="Times New Roman" w:hAnsi="Times New Roman"/>
          <w:sz w:val="24"/>
          <w:szCs w:val="24"/>
          <w:u w:color="0000FF"/>
        </w:rPr>
        <w:t xml:space="preserve">fondi vara investeerimise ja riskide juhtimisega seonduvalt avaldama jätkusuutlikkust käsitlevat teavet, järgides määruses 2019/2088 sätestatut. </w:t>
      </w:r>
      <w:r w:rsidR="00E06138" w:rsidRPr="00215ABE">
        <w:rPr>
          <w:rFonts w:ascii="Times New Roman" w:hAnsi="Times New Roman"/>
          <w:sz w:val="24"/>
          <w:szCs w:val="24"/>
          <w:u w:color="0000FF"/>
        </w:rPr>
        <w:t xml:space="preserve">Pensionifondivalitsejad valitsevad Eestis nii kohustuslikke kui vabatahtlikke pensionifonde ning osad neist ka eurofonde või alternatiivfonde, mille kõigi puhul tuleb jätkusuutlikkust käsitlevat teavet avaldada. Eelnõu jõustumise järgselt hakkavad kõigi nimetatud fondide suhtes kohalduma ühetaolised põhimõtted, mistõttu kaob pensionifondivalitsejatel ka vajadus protsesse ja vastavat reeglistikku selles osas fonditi eristada.  </w:t>
      </w:r>
    </w:p>
    <w:p w14:paraId="525D9B07" w14:textId="77777777" w:rsidR="00101CAD" w:rsidRPr="00215ABE" w:rsidRDefault="00101CAD" w:rsidP="00D32BED">
      <w:pPr>
        <w:pStyle w:val="Loendilik"/>
        <w:widowControl w:val="0"/>
        <w:autoSpaceDE w:val="0"/>
        <w:autoSpaceDN w:val="0"/>
        <w:adjustRightInd w:val="0"/>
        <w:spacing w:after="0" w:line="240" w:lineRule="auto"/>
        <w:ind w:left="0"/>
        <w:jc w:val="both"/>
        <w:rPr>
          <w:rFonts w:ascii="Times New Roman" w:hAnsi="Times New Roman"/>
          <w:sz w:val="24"/>
          <w:szCs w:val="24"/>
          <w:u w:color="0000FF"/>
        </w:rPr>
      </w:pPr>
    </w:p>
    <w:p w14:paraId="506BF108" w14:textId="764B23D7" w:rsidR="00101CAD" w:rsidRPr="00215ABE" w:rsidRDefault="00E86CAE" w:rsidP="00D32BED">
      <w:pPr>
        <w:pStyle w:val="Loendilik"/>
        <w:widowControl w:val="0"/>
        <w:autoSpaceDE w:val="0"/>
        <w:autoSpaceDN w:val="0"/>
        <w:adjustRightInd w:val="0"/>
        <w:spacing w:after="0" w:line="240" w:lineRule="auto"/>
        <w:ind w:left="360"/>
        <w:jc w:val="both"/>
        <w:rPr>
          <w:rFonts w:ascii="Times New Roman" w:hAnsi="Times New Roman"/>
          <w:sz w:val="24"/>
          <w:szCs w:val="24"/>
          <w:u w:color="0000FF"/>
        </w:rPr>
      </w:pPr>
      <w:r w:rsidRPr="00215ABE">
        <w:rPr>
          <w:rFonts w:ascii="Times New Roman" w:hAnsi="Times New Roman"/>
          <w:sz w:val="24"/>
          <w:szCs w:val="24"/>
          <w:u w:color="0000FF"/>
        </w:rPr>
        <w:t xml:space="preserve">Määruse 2019/2088 kohaldamise tõttu kohaldub </w:t>
      </w:r>
      <w:r w:rsidR="001D1546" w:rsidRPr="00215ABE">
        <w:rPr>
          <w:rFonts w:ascii="Times New Roman" w:hAnsi="Times New Roman"/>
          <w:sz w:val="24"/>
          <w:szCs w:val="24"/>
          <w:u w:color="0000FF"/>
        </w:rPr>
        <w:t xml:space="preserve">kohustuslike </w:t>
      </w:r>
      <w:r w:rsidRPr="00215ABE">
        <w:rPr>
          <w:rFonts w:ascii="Times New Roman" w:hAnsi="Times New Roman"/>
          <w:sz w:val="24"/>
          <w:szCs w:val="24"/>
          <w:u w:color="0000FF"/>
        </w:rPr>
        <w:t>pensionifondide suhtes siis automaatselt ka teine eelpool nimetatud määrus – määrus 20</w:t>
      </w:r>
      <w:r w:rsidR="0073302A" w:rsidRPr="00215ABE">
        <w:rPr>
          <w:rFonts w:ascii="Times New Roman" w:hAnsi="Times New Roman"/>
          <w:sz w:val="24"/>
          <w:szCs w:val="24"/>
          <w:u w:color="0000FF"/>
        </w:rPr>
        <w:t>20</w:t>
      </w:r>
      <w:r w:rsidRPr="00215ABE">
        <w:rPr>
          <w:rFonts w:ascii="Times New Roman" w:hAnsi="Times New Roman"/>
          <w:sz w:val="24"/>
          <w:szCs w:val="24"/>
          <w:u w:color="0000FF"/>
        </w:rPr>
        <w:t>/</w:t>
      </w:r>
      <w:r w:rsidR="0073302A" w:rsidRPr="00215ABE">
        <w:rPr>
          <w:rFonts w:ascii="Times New Roman" w:hAnsi="Times New Roman"/>
          <w:sz w:val="24"/>
          <w:szCs w:val="24"/>
          <w:u w:color="0000FF"/>
        </w:rPr>
        <w:t>852</w:t>
      </w:r>
      <w:r w:rsidRPr="00215ABE">
        <w:rPr>
          <w:rFonts w:ascii="Times New Roman" w:hAnsi="Times New Roman"/>
          <w:sz w:val="24"/>
          <w:szCs w:val="24"/>
          <w:u w:color="0000FF"/>
        </w:rPr>
        <w:t xml:space="preserve">, millega omakorda kehtestatakse kriteeriumid, mille alusel määratakse kindlaks, kas majandustegevus liigitatakse keskkonnasäästlikuks, et teha kindlaks investeeringu keskkonnasäästlikkuse määr. </w:t>
      </w:r>
    </w:p>
    <w:p w14:paraId="431F10DC" w14:textId="77777777" w:rsidR="00101CAD" w:rsidRPr="00215ABE" w:rsidRDefault="00101CAD" w:rsidP="00D32BED">
      <w:pPr>
        <w:pStyle w:val="Loendilik"/>
        <w:widowControl w:val="0"/>
        <w:autoSpaceDE w:val="0"/>
        <w:autoSpaceDN w:val="0"/>
        <w:adjustRightInd w:val="0"/>
        <w:spacing w:after="0" w:line="240" w:lineRule="auto"/>
        <w:ind w:left="0"/>
        <w:jc w:val="both"/>
        <w:rPr>
          <w:rFonts w:ascii="Times New Roman" w:hAnsi="Times New Roman"/>
          <w:sz w:val="24"/>
          <w:szCs w:val="24"/>
          <w:u w:color="0000FF"/>
        </w:rPr>
      </w:pPr>
    </w:p>
    <w:p w14:paraId="55914E58" w14:textId="72A0E31A" w:rsidR="00101CAD" w:rsidRPr="00215ABE" w:rsidRDefault="006F3AC2" w:rsidP="00D32BED">
      <w:pPr>
        <w:pStyle w:val="Loendilik"/>
        <w:widowControl w:val="0"/>
        <w:numPr>
          <w:ilvl w:val="0"/>
          <w:numId w:val="11"/>
        </w:numPr>
        <w:autoSpaceDE w:val="0"/>
        <w:autoSpaceDN w:val="0"/>
        <w:adjustRightInd w:val="0"/>
        <w:spacing w:after="0" w:line="240" w:lineRule="auto"/>
        <w:ind w:left="360"/>
        <w:jc w:val="both"/>
        <w:rPr>
          <w:rFonts w:ascii="Times New Roman" w:hAnsi="Times New Roman"/>
          <w:sz w:val="24"/>
          <w:szCs w:val="24"/>
          <w:u w:color="0000FF"/>
        </w:rPr>
      </w:pPr>
      <w:r w:rsidRPr="00215ABE">
        <w:rPr>
          <w:rFonts w:ascii="Times New Roman" w:hAnsi="Times New Roman"/>
          <w:sz w:val="24"/>
          <w:szCs w:val="24"/>
          <w:u w:color="0000FF"/>
        </w:rPr>
        <w:t>Eelnõu</w:t>
      </w:r>
      <w:r w:rsidR="00124400" w:rsidRPr="00215ABE">
        <w:rPr>
          <w:rFonts w:ascii="Times New Roman" w:hAnsi="Times New Roman"/>
          <w:sz w:val="24"/>
          <w:szCs w:val="24"/>
          <w:u w:color="0000FF"/>
        </w:rPr>
        <w:t>s esitatud väärteokaristusi puudutavad muudatused on seotud</w:t>
      </w:r>
      <w:r w:rsidRPr="00215ABE">
        <w:rPr>
          <w:rFonts w:ascii="Times New Roman" w:hAnsi="Times New Roman"/>
          <w:sz w:val="24"/>
          <w:szCs w:val="24"/>
          <w:u w:color="0000FF"/>
        </w:rPr>
        <w:t xml:space="preserve"> Euroopa Parlamendi ja nõukogu määrusega (EL) 2019/1238 üleeuroopalise personaalse pensionitoote (PEPP) kohta</w:t>
      </w:r>
      <w:r w:rsidR="00C5378E" w:rsidRPr="00215ABE">
        <w:rPr>
          <w:rFonts w:ascii="Times New Roman" w:hAnsi="Times New Roman"/>
          <w:sz w:val="24"/>
          <w:szCs w:val="24"/>
          <w:u w:color="0000FF"/>
        </w:rPr>
        <w:t xml:space="preserve"> (</w:t>
      </w:r>
      <w:r w:rsidR="00C5378E" w:rsidRPr="00215ABE">
        <w:rPr>
          <w:rFonts w:ascii="Times New Roman" w:hAnsi="Times New Roman"/>
          <w:i/>
          <w:iCs/>
          <w:sz w:val="24"/>
          <w:szCs w:val="24"/>
          <w:u w:color="0000FF"/>
        </w:rPr>
        <w:t>edaspidi PEPPi määrus</w:t>
      </w:r>
      <w:r w:rsidR="00C5378E" w:rsidRPr="00215ABE">
        <w:rPr>
          <w:rFonts w:ascii="Times New Roman" w:hAnsi="Times New Roman"/>
          <w:sz w:val="24"/>
          <w:szCs w:val="24"/>
          <w:u w:color="0000FF"/>
        </w:rPr>
        <w:t>)</w:t>
      </w:r>
      <w:r w:rsidRPr="00215ABE">
        <w:rPr>
          <w:rFonts w:ascii="Times New Roman" w:hAnsi="Times New Roman"/>
          <w:sz w:val="24"/>
          <w:szCs w:val="24"/>
          <w:u w:color="0000FF"/>
        </w:rPr>
        <w:t xml:space="preserve">. Eelnõuga tõstetakse määruses kehtestatud nõuete rikkumise tagajärjeks olevate väärteokaristuste määrad 5 000 000 eurole, mis on kooskõlas määruses sätestatuga ja võrdsustab karistuste määrad teiste finantssektori karistusmääradega. </w:t>
      </w:r>
      <w:r w:rsidR="00241E72" w:rsidRPr="00215ABE">
        <w:rPr>
          <w:rFonts w:ascii="Times New Roman" w:hAnsi="Times New Roman"/>
          <w:sz w:val="24"/>
          <w:szCs w:val="24"/>
          <w:u w:color="0000FF"/>
        </w:rPr>
        <w:t>Kõnelaused karistuste piirmäärad jäid varem muutmata tulenevalt sellest, et</w:t>
      </w:r>
      <w:r w:rsidR="00124400" w:rsidRPr="00215ABE">
        <w:rPr>
          <w:rFonts w:ascii="Times New Roman" w:hAnsi="Times New Roman"/>
          <w:sz w:val="24"/>
          <w:szCs w:val="24"/>
          <w:u w:color="0000FF"/>
        </w:rPr>
        <w:t xml:space="preserve"> vastavad</w:t>
      </w:r>
      <w:r w:rsidR="00241E72" w:rsidRPr="00215ABE">
        <w:rPr>
          <w:rFonts w:ascii="Times New Roman" w:hAnsi="Times New Roman"/>
          <w:sz w:val="24"/>
          <w:szCs w:val="24"/>
          <w:u w:color="0000FF"/>
        </w:rPr>
        <w:t xml:space="preserve"> eelnõud olid paralleelselt menetluses (PEPPi määruse rakendamiseks vajalik eelnõu ja finantssektori väärteokari</w:t>
      </w:r>
      <w:r w:rsidR="0017617E" w:rsidRPr="00215ABE">
        <w:rPr>
          <w:rFonts w:ascii="Times New Roman" w:hAnsi="Times New Roman"/>
          <w:sz w:val="24"/>
          <w:szCs w:val="24"/>
          <w:u w:color="0000FF"/>
        </w:rPr>
        <w:t>s</w:t>
      </w:r>
      <w:r w:rsidR="00241E72" w:rsidRPr="00215ABE">
        <w:rPr>
          <w:rFonts w:ascii="Times New Roman" w:hAnsi="Times New Roman"/>
          <w:sz w:val="24"/>
          <w:szCs w:val="24"/>
          <w:u w:color="0000FF"/>
        </w:rPr>
        <w:t xml:space="preserve">tuste määrasid tõstev eelnõu). </w:t>
      </w:r>
    </w:p>
    <w:p w14:paraId="268BC9C4" w14:textId="77777777" w:rsidR="00101CAD" w:rsidRPr="00215ABE" w:rsidRDefault="00101CAD" w:rsidP="00D32BED">
      <w:pPr>
        <w:pStyle w:val="Loendilik"/>
        <w:widowControl w:val="0"/>
        <w:autoSpaceDE w:val="0"/>
        <w:autoSpaceDN w:val="0"/>
        <w:adjustRightInd w:val="0"/>
        <w:spacing w:after="0" w:line="240" w:lineRule="auto"/>
        <w:ind w:left="-360"/>
        <w:jc w:val="both"/>
        <w:rPr>
          <w:rFonts w:ascii="Times New Roman" w:hAnsi="Times New Roman"/>
          <w:sz w:val="24"/>
          <w:szCs w:val="24"/>
          <w:u w:color="0000FF"/>
        </w:rPr>
      </w:pPr>
    </w:p>
    <w:p w14:paraId="5EDC8647" w14:textId="0CA141BE" w:rsidR="00C1073B" w:rsidRPr="00215ABE" w:rsidRDefault="00C1073B" w:rsidP="00D32BED">
      <w:pPr>
        <w:pStyle w:val="Loendilik"/>
        <w:widowControl w:val="0"/>
        <w:numPr>
          <w:ilvl w:val="0"/>
          <w:numId w:val="11"/>
        </w:numPr>
        <w:autoSpaceDE w:val="0"/>
        <w:autoSpaceDN w:val="0"/>
        <w:adjustRightInd w:val="0"/>
        <w:spacing w:after="0" w:line="240" w:lineRule="auto"/>
        <w:ind w:left="360"/>
        <w:jc w:val="both"/>
        <w:rPr>
          <w:rFonts w:ascii="Times New Roman" w:hAnsi="Times New Roman"/>
          <w:sz w:val="24"/>
          <w:szCs w:val="24"/>
          <w:u w:color="0000FF"/>
        </w:rPr>
      </w:pPr>
      <w:r w:rsidRPr="00215ABE">
        <w:rPr>
          <w:rFonts w:ascii="Times New Roman" w:hAnsi="Times New Roman"/>
          <w:sz w:val="24"/>
          <w:szCs w:val="24"/>
          <w:u w:color="0000FF"/>
        </w:rPr>
        <w:t>Eelnõuga täpsustatakse IFS § 103 lõikes 4 sätestatud eurofondi investeerimispiirangu sõnastust, et see vastaks selgemalt Euroopa Parlamendi ja Nõukogu direktiivi 2009/65/EÜ vabalt võõrandatavatesse väärtpaberitesse ühiseks investeeringuks loodud ettevõtjaid (eurofondid) käsitlevate õigus- ja haldusnormide kooskõlastamise kohta (</w:t>
      </w:r>
      <w:r w:rsidRPr="00215ABE">
        <w:rPr>
          <w:rFonts w:ascii="Times New Roman" w:hAnsi="Times New Roman"/>
          <w:i/>
          <w:iCs/>
          <w:sz w:val="24"/>
          <w:szCs w:val="24"/>
          <w:u w:color="0000FF"/>
        </w:rPr>
        <w:t>edaspidi direktiiv 2009/65/EÜ</w:t>
      </w:r>
      <w:r w:rsidRPr="00215ABE">
        <w:rPr>
          <w:rFonts w:ascii="Times New Roman" w:hAnsi="Times New Roman"/>
          <w:sz w:val="24"/>
          <w:szCs w:val="24"/>
          <w:u w:color="0000FF"/>
        </w:rPr>
        <w:t xml:space="preserve">), artikli 50 punktis (2)b) sätestatule, mille kohaselt ei ole eurofondidel lubatud omandada väärismetalle ega nende sertifikaate. </w:t>
      </w:r>
    </w:p>
    <w:p w14:paraId="4D1843D5" w14:textId="77777777" w:rsidR="00C1073B" w:rsidRPr="00215ABE" w:rsidRDefault="00C1073B" w:rsidP="00D32BED">
      <w:pPr>
        <w:pStyle w:val="Loendilik"/>
        <w:spacing w:after="0" w:line="240" w:lineRule="auto"/>
        <w:ind w:left="0"/>
        <w:rPr>
          <w:rFonts w:ascii="Times New Roman" w:hAnsi="Times New Roman"/>
          <w:sz w:val="24"/>
          <w:szCs w:val="24"/>
          <w:u w:color="0000FF"/>
        </w:rPr>
      </w:pPr>
    </w:p>
    <w:p w14:paraId="01631FED" w14:textId="22D5BC37" w:rsidR="00217E6E" w:rsidRPr="00215ABE" w:rsidRDefault="00C1073B" w:rsidP="00D32BED">
      <w:pPr>
        <w:pStyle w:val="Loendilik"/>
        <w:widowControl w:val="0"/>
        <w:numPr>
          <w:ilvl w:val="0"/>
          <w:numId w:val="11"/>
        </w:numPr>
        <w:autoSpaceDE w:val="0"/>
        <w:autoSpaceDN w:val="0"/>
        <w:adjustRightInd w:val="0"/>
        <w:spacing w:after="0" w:line="240" w:lineRule="auto"/>
        <w:ind w:left="360"/>
        <w:jc w:val="both"/>
        <w:rPr>
          <w:rFonts w:ascii="Times New Roman" w:hAnsi="Times New Roman"/>
          <w:sz w:val="24"/>
          <w:szCs w:val="24"/>
          <w:u w:color="0000FF"/>
        </w:rPr>
      </w:pPr>
      <w:r w:rsidRPr="00215ABE">
        <w:rPr>
          <w:rFonts w:ascii="Times New Roman" w:hAnsi="Times New Roman"/>
          <w:sz w:val="24"/>
          <w:szCs w:val="24"/>
          <w:u w:color="0000FF"/>
        </w:rPr>
        <w:t>Lisaks tehakse e</w:t>
      </w:r>
      <w:r w:rsidR="00217E6E" w:rsidRPr="00215ABE">
        <w:rPr>
          <w:rFonts w:ascii="Times New Roman" w:hAnsi="Times New Roman"/>
          <w:sz w:val="24"/>
          <w:szCs w:val="24"/>
          <w:u w:color="0000FF"/>
        </w:rPr>
        <w:t xml:space="preserve">elnõuga mõned sõnastuslikud täpsustused Euroopa Parlamendi ja nõukogu direktiivi </w:t>
      </w:r>
      <w:r w:rsidRPr="00215ABE">
        <w:rPr>
          <w:rFonts w:ascii="Times New Roman" w:hAnsi="Times New Roman"/>
          <w:sz w:val="24"/>
          <w:szCs w:val="24"/>
          <w:u w:color="0000FF"/>
        </w:rPr>
        <w:t xml:space="preserve">(EL) </w:t>
      </w:r>
      <w:r w:rsidR="00217E6E" w:rsidRPr="00215ABE">
        <w:rPr>
          <w:rFonts w:ascii="Times New Roman" w:hAnsi="Times New Roman"/>
          <w:sz w:val="24"/>
          <w:szCs w:val="24"/>
          <w:u w:color="0000FF"/>
        </w:rPr>
        <w:t>2019/1160, millega muudetakse direktiive 2009/65/EÜ ja 2011/61/EL seoses investeerimisfondide piiriülese turustamisega (</w:t>
      </w:r>
      <w:r w:rsidR="00217E6E" w:rsidRPr="00215ABE">
        <w:rPr>
          <w:rFonts w:ascii="Times New Roman" w:hAnsi="Times New Roman"/>
          <w:i/>
          <w:iCs/>
          <w:sz w:val="24"/>
          <w:szCs w:val="24"/>
          <w:u w:color="0000FF"/>
        </w:rPr>
        <w:t>edaspidi</w:t>
      </w:r>
      <w:r w:rsidR="00217E6E" w:rsidRPr="00215ABE">
        <w:rPr>
          <w:rFonts w:ascii="Times New Roman" w:hAnsi="Times New Roman"/>
          <w:sz w:val="24"/>
          <w:szCs w:val="24"/>
          <w:u w:color="0000FF"/>
        </w:rPr>
        <w:t xml:space="preserve"> </w:t>
      </w:r>
      <w:r w:rsidR="00217E6E" w:rsidRPr="00215ABE">
        <w:rPr>
          <w:rFonts w:ascii="Times New Roman" w:hAnsi="Times New Roman"/>
          <w:i/>
          <w:iCs/>
          <w:sz w:val="24"/>
          <w:szCs w:val="24"/>
          <w:u w:color="0000FF"/>
        </w:rPr>
        <w:t xml:space="preserve">direktiiv </w:t>
      </w:r>
      <w:r w:rsidR="00217E6E" w:rsidRPr="00215ABE">
        <w:rPr>
          <w:rFonts w:ascii="Times New Roman" w:hAnsi="Times New Roman"/>
          <w:sz w:val="24"/>
          <w:szCs w:val="24"/>
          <w:u w:color="0000FF"/>
        </w:rPr>
        <w:t>2019/1160) artiklite 1(4)</w:t>
      </w:r>
      <w:r w:rsidR="00D36564" w:rsidRPr="00215ABE">
        <w:rPr>
          <w:rFonts w:ascii="Times New Roman" w:hAnsi="Times New Roman"/>
          <w:sz w:val="24"/>
          <w:szCs w:val="24"/>
          <w:u w:color="0000FF"/>
        </w:rPr>
        <w:t>,</w:t>
      </w:r>
      <w:r w:rsidR="00217E6E" w:rsidRPr="00215ABE">
        <w:rPr>
          <w:rFonts w:ascii="Times New Roman" w:hAnsi="Times New Roman"/>
          <w:sz w:val="24"/>
          <w:szCs w:val="24"/>
          <w:u w:color="0000FF"/>
        </w:rPr>
        <w:t xml:space="preserve"> </w:t>
      </w:r>
      <w:r w:rsidR="00D36564" w:rsidRPr="00215ABE">
        <w:rPr>
          <w:rFonts w:ascii="Times New Roman" w:hAnsi="Times New Roman"/>
          <w:sz w:val="24"/>
          <w:szCs w:val="24"/>
          <w:u w:color="0000FF"/>
        </w:rPr>
        <w:t xml:space="preserve">2(4) </w:t>
      </w:r>
      <w:r w:rsidR="00217E6E" w:rsidRPr="00215ABE">
        <w:rPr>
          <w:rFonts w:ascii="Times New Roman" w:hAnsi="Times New Roman"/>
          <w:sz w:val="24"/>
          <w:szCs w:val="24"/>
          <w:u w:color="0000FF"/>
        </w:rPr>
        <w:t xml:space="preserve">ja 2(6) IFS-s olevates ülevõtmissätetes. Täpsustused tehakse Euroopa Komisjonilt direktiivi ülevõtmise kohta laekunud hinnanguid arvestades.  </w:t>
      </w:r>
    </w:p>
    <w:p w14:paraId="5A350C6A" w14:textId="77777777" w:rsidR="00217E6E" w:rsidRDefault="00217E6E" w:rsidP="00D32BED">
      <w:pPr>
        <w:widowControl w:val="0"/>
        <w:autoSpaceDE w:val="0"/>
        <w:autoSpaceDN w:val="0"/>
        <w:adjustRightInd w:val="0"/>
        <w:jc w:val="both"/>
        <w:rPr>
          <w:rFonts w:ascii="Times New Roman" w:hAnsi="Times New Roman"/>
          <w:u w:color="0000FF"/>
          <w:lang w:val="et-EE"/>
        </w:rPr>
      </w:pPr>
    </w:p>
    <w:p w14:paraId="14C948EC" w14:textId="77777777" w:rsidR="008E6FFD" w:rsidRPr="006F3AC2" w:rsidRDefault="008E6FFD" w:rsidP="00D32BED">
      <w:pPr>
        <w:jc w:val="both"/>
        <w:rPr>
          <w:rFonts w:ascii="Times New Roman" w:hAnsi="Times New Roman"/>
          <w:lang w:val="et-EE"/>
        </w:rPr>
      </w:pPr>
      <w:r w:rsidRPr="006F3AC2">
        <w:rPr>
          <w:rFonts w:ascii="Times New Roman" w:hAnsi="Times New Roman"/>
          <w:lang w:val="et-EE"/>
        </w:rPr>
        <w:t>Seaduse vastuvõtmiseks on vajalik Riigikogu poolthäälte enamus.</w:t>
      </w:r>
    </w:p>
    <w:p w14:paraId="5FA2C224" w14:textId="77777777" w:rsidR="008E6FFD" w:rsidRDefault="008E6FFD" w:rsidP="00D32BED">
      <w:pPr>
        <w:widowControl w:val="0"/>
        <w:autoSpaceDE w:val="0"/>
        <w:autoSpaceDN w:val="0"/>
        <w:adjustRightInd w:val="0"/>
        <w:jc w:val="both"/>
        <w:rPr>
          <w:rFonts w:ascii="Times New Roman" w:hAnsi="Times New Roman"/>
          <w:u w:color="0000FF"/>
          <w:lang w:val="et-EE"/>
        </w:rPr>
      </w:pPr>
    </w:p>
    <w:p w14:paraId="50C479CC" w14:textId="77777777" w:rsidR="00D647BE" w:rsidRDefault="00D647BE" w:rsidP="00D32BED">
      <w:pPr>
        <w:widowControl w:val="0"/>
        <w:autoSpaceDE w:val="0"/>
        <w:autoSpaceDN w:val="0"/>
        <w:adjustRightInd w:val="0"/>
        <w:jc w:val="both"/>
        <w:rPr>
          <w:rFonts w:ascii="Times New Roman" w:hAnsi="Times New Roman"/>
          <w:u w:color="0000FF"/>
          <w:lang w:val="et-EE"/>
        </w:rPr>
      </w:pPr>
    </w:p>
    <w:p w14:paraId="13E39BF5" w14:textId="77777777" w:rsidR="007453C5" w:rsidRPr="007453C5" w:rsidRDefault="00BC3175" w:rsidP="00D32BED">
      <w:pPr>
        <w:jc w:val="both"/>
        <w:rPr>
          <w:rFonts w:ascii="Times New Roman" w:hAnsi="Times New Roman"/>
          <w:b/>
          <w:lang w:val="et-EE"/>
        </w:rPr>
      </w:pPr>
      <w:r w:rsidRPr="00A01813">
        <w:rPr>
          <w:rFonts w:ascii="Times New Roman" w:hAnsi="Times New Roman"/>
          <w:b/>
          <w:lang w:val="et-EE"/>
        </w:rPr>
        <w:t xml:space="preserve">2. </w:t>
      </w:r>
      <w:r w:rsidR="00966B16" w:rsidRPr="00A01813">
        <w:rPr>
          <w:rFonts w:ascii="Times New Roman" w:hAnsi="Times New Roman"/>
          <w:b/>
          <w:lang w:val="et-EE"/>
        </w:rPr>
        <w:t>Eelnõu eesmärk</w:t>
      </w:r>
    </w:p>
    <w:p w14:paraId="617F093B" w14:textId="77777777" w:rsidR="00E171F8" w:rsidRDefault="00E171F8" w:rsidP="00D32BED">
      <w:pPr>
        <w:widowControl w:val="0"/>
        <w:tabs>
          <w:tab w:val="left" w:pos="1560"/>
        </w:tabs>
        <w:autoSpaceDE w:val="0"/>
        <w:autoSpaceDN w:val="0"/>
        <w:adjustRightInd w:val="0"/>
        <w:jc w:val="both"/>
        <w:rPr>
          <w:rFonts w:ascii="Times New Roman" w:hAnsi="Times New Roman"/>
          <w:u w:color="0000FF"/>
          <w:lang w:val="et-EE"/>
        </w:rPr>
      </w:pPr>
    </w:p>
    <w:p w14:paraId="6AD096D7" w14:textId="0A4130E4" w:rsidR="001F07F7" w:rsidRPr="00C360B5" w:rsidRDefault="00C360B5" w:rsidP="00D32BED">
      <w:pPr>
        <w:widowControl w:val="0"/>
        <w:tabs>
          <w:tab w:val="left" w:pos="1560"/>
        </w:tabs>
        <w:autoSpaceDE w:val="0"/>
        <w:autoSpaceDN w:val="0"/>
        <w:adjustRightInd w:val="0"/>
        <w:jc w:val="both"/>
        <w:rPr>
          <w:rFonts w:ascii="Times New Roman" w:hAnsi="Times New Roman"/>
          <w:b/>
          <w:bCs/>
          <w:u w:color="0000FF"/>
          <w:lang w:val="et-EE"/>
        </w:rPr>
      </w:pPr>
      <w:r w:rsidRPr="00C360B5">
        <w:rPr>
          <w:rFonts w:ascii="Times New Roman" w:hAnsi="Times New Roman"/>
          <w:b/>
          <w:bCs/>
          <w:u w:color="0000FF"/>
          <w:lang w:val="et-EE"/>
        </w:rPr>
        <w:t xml:space="preserve">2.1. Kehtiv regulatsioon ja muudatuste vajalikkus </w:t>
      </w:r>
    </w:p>
    <w:p w14:paraId="368735B4" w14:textId="401DEC62" w:rsidR="00682513" w:rsidRPr="00682513" w:rsidRDefault="00682513" w:rsidP="00D32BED">
      <w:pPr>
        <w:widowControl w:val="0"/>
        <w:tabs>
          <w:tab w:val="left" w:pos="1560"/>
        </w:tabs>
        <w:autoSpaceDE w:val="0"/>
        <w:autoSpaceDN w:val="0"/>
        <w:adjustRightInd w:val="0"/>
        <w:jc w:val="both"/>
        <w:rPr>
          <w:rFonts w:ascii="Times New Roman" w:hAnsi="Times New Roman"/>
          <w:b/>
          <w:bCs/>
          <w:u w:color="0000FF"/>
          <w:lang w:val="et-EE"/>
        </w:rPr>
      </w:pPr>
      <w:r w:rsidRPr="00682513">
        <w:rPr>
          <w:rFonts w:ascii="Times New Roman" w:hAnsi="Times New Roman"/>
          <w:b/>
          <w:bCs/>
          <w:u w:color="0000FF"/>
          <w:lang w:val="et-EE"/>
        </w:rPr>
        <w:t>2.1.</w:t>
      </w:r>
      <w:r w:rsidR="0094759A">
        <w:rPr>
          <w:rFonts w:ascii="Times New Roman" w:hAnsi="Times New Roman"/>
          <w:b/>
          <w:bCs/>
          <w:u w:color="0000FF"/>
          <w:lang w:val="et-EE"/>
        </w:rPr>
        <w:t>1</w:t>
      </w:r>
      <w:r w:rsidRPr="00682513">
        <w:rPr>
          <w:rFonts w:ascii="Times New Roman" w:hAnsi="Times New Roman"/>
          <w:b/>
          <w:bCs/>
          <w:u w:color="0000FF"/>
          <w:lang w:val="et-EE"/>
        </w:rPr>
        <w:t>. Suletud pensioni investeerimiskonto ja hilisemad laekumised</w:t>
      </w:r>
    </w:p>
    <w:p w14:paraId="71415A5B" w14:textId="6440B6DB" w:rsidR="00D612B6" w:rsidRDefault="00682513" w:rsidP="00D32BED">
      <w:pPr>
        <w:widowControl w:val="0"/>
        <w:tabs>
          <w:tab w:val="left" w:pos="1560"/>
        </w:tabs>
        <w:autoSpaceDE w:val="0"/>
        <w:autoSpaceDN w:val="0"/>
        <w:adjustRightInd w:val="0"/>
        <w:jc w:val="both"/>
        <w:rPr>
          <w:rFonts w:ascii="Times New Roman" w:hAnsi="Times New Roman"/>
          <w:lang w:val="et-EE"/>
        </w:rPr>
      </w:pPr>
      <w:r w:rsidRPr="00682513">
        <w:rPr>
          <w:rFonts w:ascii="Times New Roman" w:hAnsi="Times New Roman"/>
          <w:u w:color="0000FF"/>
          <w:lang w:val="et-EE"/>
        </w:rPr>
        <w:t>K</w:t>
      </w:r>
      <w:r>
        <w:rPr>
          <w:rFonts w:ascii="Times New Roman" w:hAnsi="Times New Roman"/>
          <w:u w:color="0000FF"/>
          <w:lang w:val="et-EE"/>
        </w:rPr>
        <w:t xml:space="preserve">ogumispensionide seadus reguleerib pensioni investeerimiskonto avamist ja sulgemist. Konto sulgemisel on eelduseks, et selle konto kaudu soetatud finantsvara on kõik võõrandatud ja kogu raha on kantud pensionifondi, isiku teisele pensioni investeerimiskontole või pensionilepingusse või isikule välja makstud. Lisaks on üldiselt eeldatud, et isik on teinud ka uue valikuavalduse, milles näidanud, kuhu tema teise samba maksed edaspidi laekuma peaksid (erandiks on vaid II sambast lahkumine ning kogu II sambasse kogutud raha ulatuses ühekordse väljamakse saamine või pensionilepingu sõlmimine). Sellele vaatamata võib praktikas siiski esineda olukordi, kus </w:t>
      </w:r>
      <w:r w:rsidR="00531DD4">
        <w:rPr>
          <w:rFonts w:ascii="Times New Roman" w:hAnsi="Times New Roman"/>
          <w:u w:color="0000FF"/>
          <w:lang w:val="et-EE"/>
        </w:rPr>
        <w:t>pensioni investeerimis</w:t>
      </w:r>
      <w:r>
        <w:rPr>
          <w:rFonts w:ascii="Times New Roman" w:hAnsi="Times New Roman"/>
          <w:lang w:val="et-EE"/>
        </w:rPr>
        <w:t>konto on juba suletud, kuid tekivad hilisemad laekumised – isikule laekub täiendavat tulu või isik omandab finantsvara, mis oleks vaja registreerida pensioni investeerimiskontoga seotud väärtpaberikontol.</w:t>
      </w:r>
      <w:r w:rsidRPr="009C4683">
        <w:rPr>
          <w:rFonts w:ascii="Times New Roman" w:hAnsi="Times New Roman"/>
          <w:lang w:val="et-EE"/>
        </w:rPr>
        <w:t xml:space="preserve"> </w:t>
      </w:r>
      <w:r w:rsidR="00531DD4">
        <w:rPr>
          <w:rFonts w:ascii="Times New Roman" w:hAnsi="Times New Roman"/>
          <w:lang w:val="et-EE"/>
        </w:rPr>
        <w:t xml:space="preserve">Tegemist võib olla </w:t>
      </w:r>
      <w:r w:rsidRPr="009C4683">
        <w:rPr>
          <w:rFonts w:ascii="Times New Roman" w:hAnsi="Times New Roman"/>
          <w:lang w:val="et-EE"/>
        </w:rPr>
        <w:t>hilis</w:t>
      </w:r>
      <w:r w:rsidR="00531DD4">
        <w:rPr>
          <w:rFonts w:ascii="Times New Roman" w:hAnsi="Times New Roman"/>
          <w:lang w:val="et-EE"/>
        </w:rPr>
        <w:t>emate</w:t>
      </w:r>
      <w:r w:rsidRPr="009C4683">
        <w:rPr>
          <w:rFonts w:ascii="Times New Roman" w:hAnsi="Times New Roman"/>
          <w:lang w:val="et-EE"/>
        </w:rPr>
        <w:t xml:space="preserve"> intressi- või dividendilaekumis</w:t>
      </w:r>
      <w:r w:rsidR="00531DD4">
        <w:rPr>
          <w:rFonts w:ascii="Times New Roman" w:hAnsi="Times New Roman"/>
          <w:lang w:val="et-EE"/>
        </w:rPr>
        <w:t xml:space="preserve">tega või toimub </w:t>
      </w:r>
      <w:r w:rsidRPr="009C4683">
        <w:rPr>
          <w:rFonts w:ascii="Times New Roman" w:hAnsi="Times New Roman"/>
          <w:lang w:val="et-EE"/>
        </w:rPr>
        <w:t>hiljem</w:t>
      </w:r>
      <w:r w:rsidR="00531DD4">
        <w:rPr>
          <w:rFonts w:ascii="Times New Roman" w:hAnsi="Times New Roman"/>
          <w:lang w:val="et-EE"/>
        </w:rPr>
        <w:t xml:space="preserve"> täiendav väärtpaberiemissioon, misjärel peaks sellised väärtpaberid pensioni investeerimiskontoga seotud väärtpaberikontol registreerima, mida aga konto sulgemise tõttu enam teha ei saa. Kogumispensionide seaduses vajab täpsustamist, kuidas tuleks nende hilisemate laekumistega käituda. </w:t>
      </w:r>
      <w:r w:rsidR="003F583A">
        <w:rPr>
          <w:rFonts w:ascii="Times New Roman" w:hAnsi="Times New Roman"/>
          <w:lang w:val="et-EE"/>
        </w:rPr>
        <w:t>See r</w:t>
      </w:r>
      <w:r w:rsidR="00531DD4">
        <w:rPr>
          <w:rFonts w:ascii="Times New Roman" w:hAnsi="Times New Roman"/>
          <w:lang w:val="et-EE"/>
        </w:rPr>
        <w:t>aha</w:t>
      </w:r>
      <w:r w:rsidR="003F583A">
        <w:rPr>
          <w:rFonts w:ascii="Times New Roman" w:hAnsi="Times New Roman"/>
          <w:lang w:val="et-EE"/>
        </w:rPr>
        <w:t xml:space="preserve"> peaks</w:t>
      </w:r>
      <w:r w:rsidR="00531DD4">
        <w:rPr>
          <w:rFonts w:ascii="Times New Roman" w:hAnsi="Times New Roman"/>
          <w:lang w:val="et-EE"/>
        </w:rPr>
        <w:t xml:space="preserve"> jõu</w:t>
      </w:r>
      <w:r w:rsidR="003F583A">
        <w:rPr>
          <w:rFonts w:ascii="Times New Roman" w:hAnsi="Times New Roman"/>
          <w:lang w:val="et-EE"/>
        </w:rPr>
        <w:t>dma</w:t>
      </w:r>
      <w:r w:rsidR="00531DD4">
        <w:rPr>
          <w:rFonts w:ascii="Times New Roman" w:hAnsi="Times New Roman"/>
          <w:lang w:val="et-EE"/>
        </w:rPr>
        <w:t xml:space="preserve"> isiku viimati valitud pensionifondi, teisele pensioni investeerimiskontole või sõlmitud pensionilepingusse või juhul, kui II sambasse kogutud raha o</w:t>
      </w:r>
      <w:r w:rsidR="003F583A">
        <w:rPr>
          <w:rFonts w:ascii="Times New Roman" w:hAnsi="Times New Roman"/>
          <w:lang w:val="et-EE"/>
        </w:rPr>
        <w:t>li</w:t>
      </w:r>
      <w:r w:rsidR="00531DD4">
        <w:rPr>
          <w:rFonts w:ascii="Times New Roman" w:hAnsi="Times New Roman"/>
          <w:lang w:val="et-EE"/>
        </w:rPr>
        <w:t xml:space="preserve"> isikule</w:t>
      </w:r>
      <w:r w:rsidR="003F583A">
        <w:rPr>
          <w:rFonts w:ascii="Times New Roman" w:hAnsi="Times New Roman"/>
          <w:lang w:val="et-EE"/>
        </w:rPr>
        <w:t xml:space="preserve"> muidu</w:t>
      </w:r>
      <w:r w:rsidR="00531DD4">
        <w:rPr>
          <w:rFonts w:ascii="Times New Roman" w:hAnsi="Times New Roman"/>
          <w:lang w:val="et-EE"/>
        </w:rPr>
        <w:t xml:space="preserve"> juba välja</w:t>
      </w:r>
      <w:r w:rsidR="003F583A">
        <w:rPr>
          <w:rFonts w:ascii="Times New Roman" w:hAnsi="Times New Roman"/>
          <w:lang w:val="et-EE"/>
        </w:rPr>
        <w:t xml:space="preserve"> ära</w:t>
      </w:r>
      <w:r w:rsidR="00531DD4">
        <w:rPr>
          <w:rFonts w:ascii="Times New Roman" w:hAnsi="Times New Roman"/>
          <w:lang w:val="et-EE"/>
        </w:rPr>
        <w:t xml:space="preserve"> makstud, </w:t>
      </w:r>
      <w:r w:rsidR="003F583A">
        <w:rPr>
          <w:rFonts w:ascii="Times New Roman" w:hAnsi="Times New Roman"/>
          <w:lang w:val="et-EE"/>
        </w:rPr>
        <w:t xml:space="preserve">siis peaks </w:t>
      </w:r>
      <w:r w:rsidR="00531DD4">
        <w:rPr>
          <w:rFonts w:ascii="Times New Roman" w:hAnsi="Times New Roman"/>
          <w:lang w:val="et-EE"/>
        </w:rPr>
        <w:t xml:space="preserve">ka see lisandunud raha </w:t>
      </w:r>
      <w:r w:rsidR="003F583A">
        <w:rPr>
          <w:rFonts w:ascii="Times New Roman" w:hAnsi="Times New Roman"/>
          <w:lang w:val="et-EE"/>
        </w:rPr>
        <w:t xml:space="preserve">läbi täiendava väljamakse </w:t>
      </w:r>
      <w:r w:rsidR="00531DD4">
        <w:rPr>
          <w:rFonts w:ascii="Times New Roman" w:hAnsi="Times New Roman"/>
          <w:lang w:val="et-EE"/>
        </w:rPr>
        <w:t>temani</w:t>
      </w:r>
      <w:r w:rsidR="003F583A">
        <w:rPr>
          <w:rFonts w:ascii="Times New Roman" w:hAnsi="Times New Roman"/>
          <w:lang w:val="et-EE"/>
        </w:rPr>
        <w:t xml:space="preserve"> jõudma</w:t>
      </w:r>
      <w:r w:rsidR="00531DD4">
        <w:rPr>
          <w:rFonts w:ascii="Times New Roman" w:hAnsi="Times New Roman"/>
          <w:lang w:val="et-EE"/>
        </w:rPr>
        <w:t>. Eelnõuga lisatakse vastavad reeglid kogumispensionide seadusesse.</w:t>
      </w:r>
    </w:p>
    <w:p w14:paraId="2CFBE519" w14:textId="77777777" w:rsidR="008A0094" w:rsidRDefault="008A0094" w:rsidP="00D32BED">
      <w:pPr>
        <w:widowControl w:val="0"/>
        <w:tabs>
          <w:tab w:val="left" w:pos="1560"/>
        </w:tabs>
        <w:autoSpaceDE w:val="0"/>
        <w:autoSpaceDN w:val="0"/>
        <w:adjustRightInd w:val="0"/>
        <w:jc w:val="both"/>
        <w:rPr>
          <w:rFonts w:ascii="Times New Roman" w:hAnsi="Times New Roman"/>
          <w:lang w:val="et-EE"/>
        </w:rPr>
      </w:pPr>
    </w:p>
    <w:p w14:paraId="1C8625A6" w14:textId="5647C3E0" w:rsidR="008A0094" w:rsidRPr="00633C6A" w:rsidRDefault="008A0094" w:rsidP="00D32BED">
      <w:pPr>
        <w:widowControl w:val="0"/>
        <w:tabs>
          <w:tab w:val="left" w:pos="1560"/>
        </w:tabs>
        <w:autoSpaceDE w:val="0"/>
        <w:autoSpaceDN w:val="0"/>
        <w:adjustRightInd w:val="0"/>
        <w:jc w:val="both"/>
        <w:rPr>
          <w:rFonts w:ascii="Times New Roman" w:hAnsi="Times New Roman"/>
          <w:b/>
          <w:bCs/>
          <w:lang w:val="et-EE"/>
        </w:rPr>
      </w:pPr>
      <w:r w:rsidRPr="00633C6A">
        <w:rPr>
          <w:rFonts w:ascii="Times New Roman" w:hAnsi="Times New Roman"/>
          <w:b/>
          <w:bCs/>
          <w:lang w:val="et-EE"/>
        </w:rPr>
        <w:t>2.1.2. Pensioni investeerimiskonto sulgemine ja võõrandamiskõlbmatud väärtpaberid</w:t>
      </w:r>
    </w:p>
    <w:p w14:paraId="14DD0F61" w14:textId="2321A4AA" w:rsidR="008A0094" w:rsidRDefault="000D41A0" w:rsidP="00D32BED">
      <w:pPr>
        <w:widowControl w:val="0"/>
        <w:tabs>
          <w:tab w:val="left" w:pos="1560"/>
        </w:tabs>
        <w:autoSpaceDE w:val="0"/>
        <w:autoSpaceDN w:val="0"/>
        <w:adjustRightInd w:val="0"/>
        <w:jc w:val="both"/>
        <w:rPr>
          <w:rFonts w:ascii="Times New Roman" w:hAnsi="Times New Roman"/>
          <w:lang w:val="et-EE"/>
        </w:rPr>
      </w:pPr>
      <w:r>
        <w:rPr>
          <w:rFonts w:ascii="Times New Roman" w:hAnsi="Times New Roman"/>
          <w:lang w:val="et-EE"/>
        </w:rPr>
        <w:t>Vastavalt KoPS § 17</w:t>
      </w:r>
      <w:r>
        <w:rPr>
          <w:rFonts w:ascii="Times New Roman" w:hAnsi="Times New Roman"/>
          <w:vertAlign w:val="superscript"/>
          <w:lang w:val="et-EE"/>
        </w:rPr>
        <w:t>1</w:t>
      </w:r>
      <w:r>
        <w:rPr>
          <w:rFonts w:ascii="Times New Roman" w:hAnsi="Times New Roman"/>
          <w:lang w:val="et-EE"/>
        </w:rPr>
        <w:t xml:space="preserve"> lõikele 2 peab pensioni investeerimiskonto sulgemiseks olema kogu selle konto kaudu soetatud finantsvara võõrandatud ja raha pensioni investeerimiskontole laekunud, kust selle saaks vastavalt konkreetsele olukorrale, kas isikule välja maksta, kanda tema sõlmitud pensionilepingusse, valitud pensionifondi või teisele pensioni investeerimiskontole. Teatud juhtudel võib aga ette tulla olukordi, kus finantsvara võõrandamine ei ole vara osapooltest </w:t>
      </w:r>
      <w:r w:rsidR="008B3842">
        <w:rPr>
          <w:rFonts w:ascii="Times New Roman" w:hAnsi="Times New Roman"/>
          <w:lang w:val="et-EE"/>
        </w:rPr>
        <w:t xml:space="preserve">mitte </w:t>
      </w:r>
      <w:r>
        <w:rPr>
          <w:rFonts w:ascii="Times New Roman" w:hAnsi="Times New Roman"/>
          <w:lang w:val="et-EE"/>
        </w:rPr>
        <w:t>sõlt</w:t>
      </w:r>
      <w:r w:rsidR="008B3842">
        <w:rPr>
          <w:rFonts w:ascii="Times New Roman" w:hAnsi="Times New Roman"/>
          <w:lang w:val="et-EE"/>
        </w:rPr>
        <w:t>uvalt</w:t>
      </w:r>
      <w:r>
        <w:rPr>
          <w:rFonts w:ascii="Times New Roman" w:hAnsi="Times New Roman"/>
          <w:lang w:val="et-EE"/>
        </w:rPr>
        <w:t xml:space="preserve"> võimalik. </w:t>
      </w:r>
    </w:p>
    <w:p w14:paraId="20FA8976" w14:textId="77777777" w:rsidR="008B3842" w:rsidRDefault="008B3842" w:rsidP="00D32BED">
      <w:pPr>
        <w:widowControl w:val="0"/>
        <w:tabs>
          <w:tab w:val="left" w:pos="1560"/>
        </w:tabs>
        <w:autoSpaceDE w:val="0"/>
        <w:autoSpaceDN w:val="0"/>
        <w:adjustRightInd w:val="0"/>
        <w:jc w:val="both"/>
        <w:rPr>
          <w:rFonts w:ascii="Times New Roman" w:hAnsi="Times New Roman"/>
          <w:lang w:val="et-EE"/>
        </w:rPr>
      </w:pPr>
    </w:p>
    <w:p w14:paraId="08F297D5" w14:textId="59053597" w:rsidR="008B3842" w:rsidRDefault="008B3842" w:rsidP="00D32BED">
      <w:pPr>
        <w:widowControl w:val="0"/>
        <w:tabs>
          <w:tab w:val="left" w:pos="1560"/>
        </w:tabs>
        <w:autoSpaceDE w:val="0"/>
        <w:autoSpaceDN w:val="0"/>
        <w:adjustRightInd w:val="0"/>
        <w:jc w:val="both"/>
        <w:rPr>
          <w:rFonts w:ascii="Times New Roman" w:hAnsi="Times New Roman"/>
          <w:lang w:val="et-EE"/>
        </w:rPr>
      </w:pPr>
      <w:r>
        <w:rPr>
          <w:rFonts w:ascii="Times New Roman" w:hAnsi="Times New Roman"/>
          <w:lang w:val="et-EE"/>
        </w:rPr>
        <w:t>Kogu pensioni investeerimiskonto kaudu soetatud finantsvara võõrandamist eeldab ka raha väljavõtmine II sambast lahkumisel. Et sellisel juhul makstakse välja kogu II sambasse kogutud raha, ei ole lubatud, et osa vara (raha) jääks pärast sambast lahkumist sinna alles. Erandina sätestab KoPS § 52</w:t>
      </w:r>
      <w:r>
        <w:rPr>
          <w:rFonts w:ascii="Times New Roman" w:hAnsi="Times New Roman"/>
          <w:vertAlign w:val="superscript"/>
          <w:lang w:val="et-EE"/>
        </w:rPr>
        <w:t>6</w:t>
      </w:r>
      <w:r>
        <w:rPr>
          <w:rFonts w:ascii="Times New Roman" w:hAnsi="Times New Roman"/>
          <w:lang w:val="et-EE"/>
        </w:rPr>
        <w:t xml:space="preserve"> lõike 6 esimene lause, et vara võõrandamise nõuet ei kohaldata </w:t>
      </w:r>
      <w:r w:rsidRPr="008B3842">
        <w:rPr>
          <w:rFonts w:ascii="Times New Roman" w:hAnsi="Times New Roman"/>
          <w:lang w:val="et-EE"/>
        </w:rPr>
        <w:t>pensioni investeerimiskonto kaudu soetatud finantsvara suhtes, mille võõrandamine, sealhulgas finantsvara soetamisel sõlmitud lepingu lõpetamine, ei ole finantsvara teise osapoole suhtes pankrotimenetluse algatamise, krediidiasutuse suhtes väljakuulutatud moratooriumi või kriisilahendusmenetluse algatamise, kindlustusandjale kehtestatud erirežiimi või õigusaktides sätestatud muu tagajärgedelt sarnase sündmuse või toimingu tõttu seaduse kohaselt võimalik.</w:t>
      </w:r>
      <w:r>
        <w:rPr>
          <w:rFonts w:ascii="Times New Roman" w:hAnsi="Times New Roman"/>
          <w:lang w:val="et-EE"/>
        </w:rPr>
        <w:t xml:space="preserve"> II sambast lahkujale tehakse sel juhul väljamakse summas, mida on võimalik välja maksta. Kui eelpoolnimetatud võõrandamist takistavad asjaolud langevad mingil hetkel ära, võõrandatakse ka see vara ning tehakse sambast lahkunud isikule uus väljamakse. Praktikas võib see võtta väga kaua aega ja tihti on tulemuseks see, et sellist vara võõrandada ei õnnestugi. Vara väärtuse saab hinnata nulli, kuid kui tegemist on väärtpaberitega, mis on registreeritud pensioni investeerimiskontoga seotud väärtpaberikontol, ei ole võimalik seda väärtpaberikontot ega pensioni investeerimiskontot sulgeda. Kontode avatuna hoidmisega kaasnevad </w:t>
      </w:r>
      <w:r w:rsidR="0004675A">
        <w:rPr>
          <w:rFonts w:ascii="Times New Roman" w:hAnsi="Times New Roman"/>
          <w:lang w:val="et-EE"/>
        </w:rPr>
        <w:t xml:space="preserve">kulud </w:t>
      </w:r>
      <w:r w:rsidR="0004675A">
        <w:rPr>
          <w:rFonts w:ascii="Times New Roman" w:hAnsi="Times New Roman"/>
          <w:lang w:val="et-EE"/>
        </w:rPr>
        <w:lastRenderedPageBreak/>
        <w:t>krediidiasutusele ning kontode, millel tehinguid ei toimu ja mida sisuliselt ei kasutata, lõputult avatuna hoidmine on ebamõistlik</w:t>
      </w:r>
      <w:r>
        <w:rPr>
          <w:rFonts w:ascii="Times New Roman" w:hAnsi="Times New Roman"/>
          <w:lang w:val="et-EE"/>
        </w:rPr>
        <w:t>.</w:t>
      </w:r>
    </w:p>
    <w:p w14:paraId="63CB1AAD" w14:textId="77777777" w:rsidR="008B3842" w:rsidRDefault="008B3842" w:rsidP="00D32BED">
      <w:pPr>
        <w:widowControl w:val="0"/>
        <w:tabs>
          <w:tab w:val="left" w:pos="1560"/>
        </w:tabs>
        <w:autoSpaceDE w:val="0"/>
        <w:autoSpaceDN w:val="0"/>
        <w:adjustRightInd w:val="0"/>
        <w:jc w:val="both"/>
        <w:rPr>
          <w:rFonts w:ascii="Times New Roman" w:hAnsi="Times New Roman"/>
          <w:lang w:val="et-EE"/>
        </w:rPr>
      </w:pPr>
    </w:p>
    <w:p w14:paraId="08C8BFDB" w14:textId="56CFF488" w:rsidR="008B3842" w:rsidRDefault="008B3842" w:rsidP="00D32BED">
      <w:pPr>
        <w:widowControl w:val="0"/>
        <w:tabs>
          <w:tab w:val="left" w:pos="1560"/>
        </w:tabs>
        <w:autoSpaceDE w:val="0"/>
        <w:autoSpaceDN w:val="0"/>
        <w:adjustRightInd w:val="0"/>
        <w:jc w:val="both"/>
        <w:rPr>
          <w:rFonts w:ascii="Times New Roman" w:hAnsi="Times New Roman"/>
          <w:lang w:val="et-EE"/>
        </w:rPr>
      </w:pPr>
      <w:r>
        <w:rPr>
          <w:rFonts w:ascii="Times New Roman" w:hAnsi="Times New Roman"/>
          <w:lang w:val="et-EE"/>
        </w:rPr>
        <w:t>Eelnõuga täpsustatakse KoPS § 52</w:t>
      </w:r>
      <w:r>
        <w:rPr>
          <w:rFonts w:ascii="Times New Roman" w:hAnsi="Times New Roman"/>
          <w:vertAlign w:val="superscript"/>
          <w:lang w:val="et-EE"/>
        </w:rPr>
        <w:t>6</w:t>
      </w:r>
      <w:r>
        <w:rPr>
          <w:rFonts w:ascii="Times New Roman" w:hAnsi="Times New Roman"/>
          <w:lang w:val="et-EE"/>
        </w:rPr>
        <w:t xml:space="preserve"> lõike 6 esimese lause sõnastust, et </w:t>
      </w:r>
      <w:r w:rsidR="0097185A">
        <w:rPr>
          <w:rFonts w:ascii="Times New Roman" w:hAnsi="Times New Roman"/>
          <w:lang w:val="et-EE"/>
        </w:rPr>
        <w:t xml:space="preserve">laiendada põhjuste loetelu, mis juhul vara võõrandamist enne sambast lahkumist ei eeldata tingimata. Need on juhud, kus </w:t>
      </w:r>
      <w:r w:rsidR="0097185A" w:rsidRPr="0097185A">
        <w:rPr>
          <w:rFonts w:ascii="Times New Roman" w:hAnsi="Times New Roman"/>
          <w:lang w:val="et-EE"/>
        </w:rPr>
        <w:t>võõrandamine ei ole</w:t>
      </w:r>
      <w:r w:rsidR="0097185A">
        <w:rPr>
          <w:rFonts w:ascii="Times New Roman" w:hAnsi="Times New Roman"/>
          <w:lang w:val="et-EE"/>
        </w:rPr>
        <w:t xml:space="preserve"> võimalik</w:t>
      </w:r>
      <w:r w:rsidR="0097185A" w:rsidRPr="0097185A">
        <w:rPr>
          <w:rFonts w:ascii="Times New Roman" w:hAnsi="Times New Roman"/>
          <w:lang w:val="et-EE"/>
        </w:rPr>
        <w:t xml:space="preserve"> kauplemise peatamise või lõpetamise tõttu väärtpaberituru seaduse §-s 3 nimetatud kauplemiskoha poolt või finantsvara teise osapoole või tehingu tegemiseks vajaliku finants</w:t>
      </w:r>
      <w:r w:rsidR="00CE1825">
        <w:rPr>
          <w:rFonts w:ascii="Times New Roman" w:hAnsi="Times New Roman"/>
          <w:lang w:val="et-EE"/>
        </w:rPr>
        <w:t>vahendaja</w:t>
      </w:r>
      <w:r w:rsidR="0097185A" w:rsidRPr="0097185A">
        <w:rPr>
          <w:rFonts w:ascii="Times New Roman" w:hAnsi="Times New Roman"/>
          <w:lang w:val="et-EE"/>
        </w:rPr>
        <w:t xml:space="preserve"> suhtes pankrotimenetluse algatamise, krediidiasutuse suhtes väljakuulutatud moratooriumi või kriisilahendusmenetluse algatamise, kindlustusandjale kehtestatud erirežiimi või muu pädeva haldusorgani </w:t>
      </w:r>
      <w:r w:rsidR="0097185A">
        <w:rPr>
          <w:rFonts w:ascii="Times New Roman" w:hAnsi="Times New Roman"/>
          <w:lang w:val="et-EE"/>
        </w:rPr>
        <w:t xml:space="preserve">tagajärgedelt sarnase </w:t>
      </w:r>
      <w:r w:rsidR="0097185A" w:rsidRPr="0097185A">
        <w:rPr>
          <w:rFonts w:ascii="Times New Roman" w:hAnsi="Times New Roman"/>
          <w:lang w:val="et-EE"/>
        </w:rPr>
        <w:t>otsuse või kohtuotsuse tõttu seaduse kohaselt võimalik</w:t>
      </w:r>
      <w:r w:rsidR="0097185A">
        <w:rPr>
          <w:rFonts w:ascii="Times New Roman" w:hAnsi="Times New Roman"/>
          <w:lang w:val="et-EE"/>
        </w:rPr>
        <w:t>. Uute alustena tuuakse sisse kauplemise peatamine ja lõpetamine kauplemiskoha poolt ning raskused (pankrotimenetluse algatamine või saneerimine või muu pädeva haldusorgani või kohtu tagajärgedelt sarnane otsus) tehingu tegemiseks vajaliku finants</w:t>
      </w:r>
      <w:r w:rsidR="00CE1825">
        <w:rPr>
          <w:rFonts w:ascii="Times New Roman" w:hAnsi="Times New Roman"/>
          <w:lang w:val="et-EE"/>
        </w:rPr>
        <w:t>vahendajaga</w:t>
      </w:r>
      <w:r w:rsidR="0097185A">
        <w:rPr>
          <w:rFonts w:ascii="Times New Roman" w:hAnsi="Times New Roman"/>
          <w:lang w:val="et-EE"/>
        </w:rPr>
        <w:t xml:space="preserve"> (näiteks investeerimisühing, väärtpaberite keskdepositoorium vms). </w:t>
      </w:r>
    </w:p>
    <w:p w14:paraId="56005C0E" w14:textId="77777777" w:rsidR="0097185A" w:rsidRDefault="0097185A" w:rsidP="00D32BED">
      <w:pPr>
        <w:widowControl w:val="0"/>
        <w:tabs>
          <w:tab w:val="left" w:pos="1560"/>
        </w:tabs>
        <w:autoSpaceDE w:val="0"/>
        <w:autoSpaceDN w:val="0"/>
        <w:adjustRightInd w:val="0"/>
        <w:jc w:val="both"/>
        <w:rPr>
          <w:rFonts w:ascii="Times New Roman" w:hAnsi="Times New Roman"/>
          <w:lang w:val="et-EE"/>
        </w:rPr>
      </w:pPr>
    </w:p>
    <w:p w14:paraId="0C4797F1" w14:textId="5BAF81E5" w:rsidR="0097185A" w:rsidRPr="008B3842" w:rsidRDefault="0097185A" w:rsidP="00D32BED">
      <w:pPr>
        <w:widowControl w:val="0"/>
        <w:tabs>
          <w:tab w:val="left" w:pos="1560"/>
        </w:tabs>
        <w:autoSpaceDE w:val="0"/>
        <w:autoSpaceDN w:val="0"/>
        <w:adjustRightInd w:val="0"/>
        <w:jc w:val="both"/>
        <w:rPr>
          <w:rFonts w:ascii="Times New Roman" w:hAnsi="Times New Roman"/>
          <w:lang w:val="et-EE"/>
        </w:rPr>
      </w:pPr>
      <w:r>
        <w:rPr>
          <w:rFonts w:ascii="Times New Roman" w:hAnsi="Times New Roman"/>
          <w:lang w:val="et-EE"/>
        </w:rPr>
        <w:t xml:space="preserve">Paika jääb põhimõte, et kui võõrandamise takistused langevad ära, siis </w:t>
      </w:r>
      <w:r w:rsidR="004E37B9">
        <w:rPr>
          <w:rFonts w:ascii="Times New Roman" w:hAnsi="Times New Roman"/>
          <w:lang w:val="et-EE"/>
        </w:rPr>
        <w:t>finants</w:t>
      </w:r>
      <w:r>
        <w:rPr>
          <w:rFonts w:ascii="Times New Roman" w:hAnsi="Times New Roman"/>
          <w:lang w:val="et-EE"/>
        </w:rPr>
        <w:t>vara võõrandatakse ja pensioni investeerimiskontole laeku</w:t>
      </w:r>
      <w:r w:rsidR="004E37B9">
        <w:rPr>
          <w:rFonts w:ascii="Times New Roman" w:hAnsi="Times New Roman"/>
          <w:lang w:val="et-EE"/>
        </w:rPr>
        <w:t xml:space="preserve">nud summas tehakse </w:t>
      </w:r>
      <w:r>
        <w:rPr>
          <w:rFonts w:ascii="Times New Roman" w:hAnsi="Times New Roman"/>
          <w:lang w:val="et-EE"/>
        </w:rPr>
        <w:t>sambast lahkunud isikule</w:t>
      </w:r>
      <w:r w:rsidR="004E37B9">
        <w:rPr>
          <w:rFonts w:ascii="Times New Roman" w:hAnsi="Times New Roman"/>
          <w:lang w:val="et-EE"/>
        </w:rPr>
        <w:t xml:space="preserve"> väljamakse (enne pangakontole kandmist peetakse väljamakstavalt summalt kinni tulumaks)</w:t>
      </w:r>
      <w:r>
        <w:rPr>
          <w:rFonts w:ascii="Times New Roman" w:hAnsi="Times New Roman"/>
          <w:lang w:val="et-EE"/>
        </w:rPr>
        <w:t>.</w:t>
      </w:r>
    </w:p>
    <w:p w14:paraId="071A9747" w14:textId="77777777" w:rsidR="008B3842" w:rsidRDefault="008B3842" w:rsidP="00D32BED">
      <w:pPr>
        <w:widowControl w:val="0"/>
        <w:tabs>
          <w:tab w:val="left" w:pos="1560"/>
        </w:tabs>
        <w:autoSpaceDE w:val="0"/>
        <w:autoSpaceDN w:val="0"/>
        <w:adjustRightInd w:val="0"/>
        <w:jc w:val="both"/>
        <w:rPr>
          <w:rFonts w:ascii="Times New Roman" w:hAnsi="Times New Roman"/>
          <w:lang w:val="et-EE"/>
        </w:rPr>
      </w:pPr>
    </w:p>
    <w:p w14:paraId="6928C5AB" w14:textId="0FFF9FF0" w:rsidR="004E37B9" w:rsidRDefault="004E37B9" w:rsidP="00D32BED">
      <w:pPr>
        <w:widowControl w:val="0"/>
        <w:tabs>
          <w:tab w:val="left" w:pos="1560"/>
        </w:tabs>
        <w:autoSpaceDE w:val="0"/>
        <w:autoSpaceDN w:val="0"/>
        <w:adjustRightInd w:val="0"/>
        <w:jc w:val="both"/>
        <w:rPr>
          <w:rFonts w:ascii="Times New Roman" w:hAnsi="Times New Roman"/>
          <w:lang w:val="et-EE"/>
        </w:rPr>
      </w:pPr>
      <w:r>
        <w:rPr>
          <w:rFonts w:ascii="Times New Roman" w:hAnsi="Times New Roman"/>
          <w:lang w:val="et-EE"/>
        </w:rPr>
        <w:t>Sõltuvalt finantsvara võõrandamist takistanud menetluse või re</w:t>
      </w:r>
      <w:r w:rsidR="008B1D1A">
        <w:rPr>
          <w:rFonts w:ascii="Times New Roman" w:hAnsi="Times New Roman"/>
          <w:lang w:val="et-EE"/>
        </w:rPr>
        <w:t>žiimi tulemustest võib finantsvara aga jäädagi nö võõrandamiskõlbmatuks (pankrotimenetluse lõppemisel eelkõige). Erinevalt kauplemise peatamisest, mille saab tühistada, ei osutu väärtpaberite võõrandamine võimalikuks ka pärast kauplemise lõpetamist kauplemiskoha poolt.</w:t>
      </w:r>
    </w:p>
    <w:p w14:paraId="08FF65DF" w14:textId="77777777" w:rsidR="008B1D1A" w:rsidRDefault="008B1D1A" w:rsidP="00D32BED">
      <w:pPr>
        <w:widowControl w:val="0"/>
        <w:tabs>
          <w:tab w:val="left" w:pos="1560"/>
        </w:tabs>
        <w:autoSpaceDE w:val="0"/>
        <w:autoSpaceDN w:val="0"/>
        <w:adjustRightInd w:val="0"/>
        <w:jc w:val="both"/>
        <w:rPr>
          <w:rFonts w:ascii="Times New Roman" w:hAnsi="Times New Roman"/>
          <w:lang w:val="et-EE"/>
        </w:rPr>
      </w:pPr>
    </w:p>
    <w:p w14:paraId="72D7B8D6" w14:textId="00F5FA7F" w:rsidR="00633C6A" w:rsidRDefault="008B1D1A" w:rsidP="00D32BED">
      <w:pPr>
        <w:widowControl w:val="0"/>
        <w:tabs>
          <w:tab w:val="left" w:pos="1560"/>
        </w:tabs>
        <w:autoSpaceDE w:val="0"/>
        <w:autoSpaceDN w:val="0"/>
        <w:adjustRightInd w:val="0"/>
        <w:jc w:val="both"/>
        <w:rPr>
          <w:rFonts w:ascii="Times New Roman" w:hAnsi="Times New Roman"/>
          <w:lang w:val="et-EE"/>
        </w:rPr>
      </w:pPr>
      <w:r>
        <w:rPr>
          <w:rFonts w:ascii="Times New Roman" w:hAnsi="Times New Roman"/>
          <w:lang w:val="et-EE"/>
        </w:rPr>
        <w:t>Selleks, et sellises olukorras oleks võimalik pensioni investeerimiskontot sulgeda (eelkõige teemaks, kui isik on sambast lahkunud, kuid ka siis, kui pensioni investeerimiskontot ei soovita enam kasutada), lisatakse eelnõuga KoPS § 17</w:t>
      </w:r>
      <w:r>
        <w:rPr>
          <w:rFonts w:ascii="Times New Roman" w:hAnsi="Times New Roman"/>
          <w:vertAlign w:val="superscript"/>
          <w:lang w:val="et-EE"/>
        </w:rPr>
        <w:t>1</w:t>
      </w:r>
      <w:r>
        <w:rPr>
          <w:rFonts w:ascii="Times New Roman" w:hAnsi="Times New Roman"/>
          <w:lang w:val="et-EE"/>
        </w:rPr>
        <w:t xml:space="preserve"> võimalus nende nö võõrandamiskõlbmatute väärtpaberite ümberregistreerimiseks tavalisele väärtpaberikontole. </w:t>
      </w:r>
      <w:r w:rsidR="00633C6A">
        <w:rPr>
          <w:rFonts w:ascii="Times New Roman" w:hAnsi="Times New Roman"/>
          <w:lang w:val="et-EE"/>
        </w:rPr>
        <w:t xml:space="preserve">Seda oleks lubatud teha, kui </w:t>
      </w:r>
      <w:r w:rsidRPr="008B1D1A">
        <w:rPr>
          <w:rFonts w:ascii="Times New Roman" w:hAnsi="Times New Roman"/>
          <w:lang w:val="et-EE"/>
        </w:rPr>
        <w:t xml:space="preserve">väärtpaberiga kauplemine on kauplemiskoha poolt lõpetatud või </w:t>
      </w:r>
      <w:r w:rsidR="00633C6A">
        <w:rPr>
          <w:rFonts w:ascii="Times New Roman" w:hAnsi="Times New Roman"/>
          <w:lang w:val="et-EE"/>
        </w:rPr>
        <w:t xml:space="preserve">kui KoPS </w:t>
      </w:r>
      <w:r w:rsidRPr="008B1D1A">
        <w:rPr>
          <w:rFonts w:ascii="Times New Roman" w:hAnsi="Times New Roman"/>
          <w:lang w:val="et-EE"/>
        </w:rPr>
        <w:t>§ 52</w:t>
      </w:r>
      <w:r w:rsidRPr="00633C6A">
        <w:rPr>
          <w:rFonts w:ascii="Times New Roman" w:hAnsi="Times New Roman"/>
          <w:vertAlign w:val="superscript"/>
          <w:lang w:val="et-EE"/>
        </w:rPr>
        <w:t>6</w:t>
      </w:r>
      <w:r w:rsidRPr="008B1D1A">
        <w:rPr>
          <w:rFonts w:ascii="Times New Roman" w:hAnsi="Times New Roman"/>
          <w:lang w:val="et-EE"/>
        </w:rPr>
        <w:t xml:space="preserve"> lõikes 6 sätestatud menetluse või režiimi lõppemise järel ei ole pensioni investeerimiskonto kaudu soetatud väärtpaberite võõrandamine endiselt võimalik</w:t>
      </w:r>
      <w:r w:rsidR="00633C6A">
        <w:rPr>
          <w:rFonts w:ascii="Times New Roman" w:hAnsi="Times New Roman"/>
          <w:lang w:val="et-EE"/>
        </w:rPr>
        <w:t xml:space="preserve">. Kui isikul on samas krediidiasutuses avatud teine, nö tavaline väärtpaberikonto, saab krediidiasutus korraldada nende väärtpaberite ümberregistreerimise sellele kontole. II samba mõistes on nende väärtpaberite väärtus hinnatud nulli ja on äärmiselt ebatõenäoline, et neid väärtpabereid ka tulevikus võõrandada õnnestub. </w:t>
      </w:r>
    </w:p>
    <w:p w14:paraId="3066CC68" w14:textId="1C18A542" w:rsidR="00682513" w:rsidRDefault="00682513" w:rsidP="00D32BED">
      <w:pPr>
        <w:widowControl w:val="0"/>
        <w:tabs>
          <w:tab w:val="left" w:pos="1560"/>
        </w:tabs>
        <w:autoSpaceDE w:val="0"/>
        <w:autoSpaceDN w:val="0"/>
        <w:adjustRightInd w:val="0"/>
        <w:jc w:val="both"/>
        <w:rPr>
          <w:rFonts w:ascii="Times New Roman" w:hAnsi="Times New Roman"/>
          <w:lang w:val="et-EE"/>
        </w:rPr>
      </w:pPr>
    </w:p>
    <w:p w14:paraId="30EFA23D" w14:textId="18092C15" w:rsidR="00531DD4" w:rsidRPr="00531DD4" w:rsidRDefault="00531DD4" w:rsidP="00D32BED">
      <w:pPr>
        <w:widowControl w:val="0"/>
        <w:tabs>
          <w:tab w:val="left" w:pos="1560"/>
        </w:tabs>
        <w:autoSpaceDE w:val="0"/>
        <w:autoSpaceDN w:val="0"/>
        <w:adjustRightInd w:val="0"/>
        <w:jc w:val="both"/>
        <w:rPr>
          <w:rFonts w:ascii="Times New Roman" w:hAnsi="Times New Roman"/>
          <w:b/>
          <w:bCs/>
          <w:lang w:val="et-EE"/>
        </w:rPr>
      </w:pPr>
      <w:r w:rsidRPr="00531DD4">
        <w:rPr>
          <w:rFonts w:ascii="Times New Roman" w:hAnsi="Times New Roman"/>
          <w:b/>
          <w:bCs/>
          <w:lang w:val="et-EE"/>
        </w:rPr>
        <w:t>2.1.</w:t>
      </w:r>
      <w:r w:rsidR="008A0094">
        <w:rPr>
          <w:rFonts w:ascii="Times New Roman" w:hAnsi="Times New Roman"/>
          <w:b/>
          <w:bCs/>
          <w:lang w:val="et-EE"/>
        </w:rPr>
        <w:t>3</w:t>
      </w:r>
      <w:r w:rsidRPr="00531DD4">
        <w:rPr>
          <w:rFonts w:ascii="Times New Roman" w:hAnsi="Times New Roman"/>
          <w:b/>
          <w:bCs/>
          <w:lang w:val="et-EE"/>
        </w:rPr>
        <w:t>. II samba vara pärimine</w:t>
      </w:r>
    </w:p>
    <w:p w14:paraId="7635842F" w14:textId="77777777" w:rsidR="00241E72" w:rsidRDefault="00241E72" w:rsidP="00D32BED">
      <w:pPr>
        <w:shd w:val="clear" w:color="auto" w:fill="FFFFFF"/>
        <w:jc w:val="both"/>
        <w:rPr>
          <w:rFonts w:ascii="Times New Roman" w:hAnsi="Times New Roman"/>
          <w:color w:val="202020"/>
          <w:lang w:val="et-EE" w:eastAsia="et-EE"/>
        </w:rPr>
      </w:pPr>
      <w:r>
        <w:rPr>
          <w:rFonts w:ascii="Times New Roman" w:hAnsi="Times New Roman"/>
          <w:color w:val="202020"/>
          <w:lang w:val="et-EE" w:eastAsia="et-EE"/>
        </w:rPr>
        <w:t xml:space="preserve">II samba vara on pärandatav. Erandiks on vaid väljamaksete saamiseks sõlmitud pensionilepingud, mis ei kuulu pärandvara hulka, kuid mille puhul on võimalik sõlmida leping garantiiperioodiga, et kindlustusvõtja surma korral saaksid pensionimaksed, mis on jäänud garantiiperioodi lõpuni välja maksmata, kindlustusvõtja määratud soodustatud isikud või pärijad. </w:t>
      </w:r>
    </w:p>
    <w:p w14:paraId="7CBF50E0" w14:textId="77777777" w:rsidR="00241E72" w:rsidRDefault="00241E72" w:rsidP="00D32BED">
      <w:pPr>
        <w:shd w:val="clear" w:color="auto" w:fill="FFFFFF"/>
        <w:jc w:val="both"/>
        <w:rPr>
          <w:rFonts w:ascii="Times New Roman" w:hAnsi="Times New Roman"/>
          <w:color w:val="202020"/>
          <w:lang w:val="et-EE" w:eastAsia="et-EE"/>
        </w:rPr>
      </w:pPr>
    </w:p>
    <w:p w14:paraId="032FC138" w14:textId="254D36F9" w:rsidR="00241E72" w:rsidRDefault="00241E72" w:rsidP="00D32BED">
      <w:pPr>
        <w:shd w:val="clear" w:color="auto" w:fill="FFFFFF"/>
        <w:jc w:val="both"/>
        <w:rPr>
          <w:rFonts w:ascii="Times New Roman" w:hAnsi="Times New Roman"/>
          <w:color w:val="202020"/>
          <w:lang w:val="et-EE" w:eastAsia="et-EE"/>
        </w:rPr>
      </w:pPr>
      <w:r>
        <w:rPr>
          <w:rFonts w:ascii="Times New Roman" w:hAnsi="Times New Roman"/>
          <w:color w:val="202020"/>
          <w:lang w:val="et-EE" w:eastAsia="et-EE"/>
        </w:rPr>
        <w:t>Kohustusliku pensionifondi o</w:t>
      </w:r>
      <w:r w:rsidRPr="00241E72">
        <w:rPr>
          <w:rFonts w:ascii="Times New Roman" w:hAnsi="Times New Roman"/>
          <w:color w:val="202020"/>
          <w:lang w:val="et-EE" w:eastAsia="et-EE"/>
        </w:rPr>
        <w:t xml:space="preserve">sakuomaniku surma korral lähevad </w:t>
      </w:r>
      <w:r>
        <w:rPr>
          <w:rFonts w:ascii="Times New Roman" w:hAnsi="Times New Roman"/>
          <w:color w:val="202020"/>
          <w:lang w:val="et-EE" w:eastAsia="et-EE"/>
        </w:rPr>
        <w:t xml:space="preserve">talle kuuluvad pensionifondi </w:t>
      </w:r>
      <w:r w:rsidRPr="00241E72">
        <w:rPr>
          <w:rFonts w:ascii="Times New Roman" w:hAnsi="Times New Roman"/>
          <w:color w:val="202020"/>
          <w:lang w:val="et-EE" w:eastAsia="et-EE"/>
        </w:rPr>
        <w:t>osakud</w:t>
      </w:r>
      <w:r>
        <w:rPr>
          <w:rFonts w:ascii="Times New Roman" w:hAnsi="Times New Roman"/>
          <w:color w:val="202020"/>
          <w:lang w:val="et-EE" w:eastAsia="et-EE"/>
        </w:rPr>
        <w:t xml:space="preserve"> üle pärijale. </w:t>
      </w:r>
      <w:r w:rsidR="00726413">
        <w:rPr>
          <w:rFonts w:ascii="Times New Roman" w:hAnsi="Times New Roman"/>
          <w:color w:val="202020"/>
          <w:lang w:val="et-EE" w:eastAsia="et-EE"/>
        </w:rPr>
        <w:t xml:space="preserve">Samuti lähevad </w:t>
      </w:r>
      <w:r w:rsidRPr="00241E72">
        <w:rPr>
          <w:rFonts w:ascii="Times New Roman" w:hAnsi="Times New Roman"/>
          <w:color w:val="202020"/>
          <w:lang w:val="et-EE" w:eastAsia="et-EE"/>
        </w:rPr>
        <w:t>pensioni investeerimiskontot kasutanud isiku surma korral tema pensioni investeerimiskontol olev raha ja selle eest soetatud finantsvara üle pärijale</w:t>
      </w:r>
      <w:r w:rsidR="00726413">
        <w:rPr>
          <w:rFonts w:ascii="Times New Roman" w:hAnsi="Times New Roman"/>
          <w:color w:val="202020"/>
          <w:lang w:val="et-EE" w:eastAsia="et-EE"/>
        </w:rPr>
        <w:t xml:space="preserve">. Pärijal omakorda on õigus kanda </w:t>
      </w:r>
      <w:r w:rsidRPr="00241E72">
        <w:rPr>
          <w:rFonts w:ascii="Times New Roman" w:hAnsi="Times New Roman"/>
          <w:color w:val="202020"/>
          <w:lang w:val="et-EE" w:eastAsia="et-EE"/>
        </w:rPr>
        <w:t xml:space="preserve">päritud </w:t>
      </w:r>
      <w:r w:rsidR="00726413">
        <w:rPr>
          <w:rFonts w:ascii="Times New Roman" w:hAnsi="Times New Roman"/>
          <w:color w:val="202020"/>
          <w:lang w:val="et-EE" w:eastAsia="et-EE"/>
        </w:rPr>
        <w:t xml:space="preserve">kohustusliku pensionifondi </w:t>
      </w:r>
      <w:r w:rsidRPr="00241E72">
        <w:rPr>
          <w:rFonts w:ascii="Times New Roman" w:hAnsi="Times New Roman"/>
          <w:color w:val="202020"/>
          <w:lang w:val="et-EE" w:eastAsia="et-EE"/>
        </w:rPr>
        <w:t xml:space="preserve">osakud oma pensionikontole või </w:t>
      </w:r>
      <w:r w:rsidR="00726413">
        <w:rPr>
          <w:rFonts w:ascii="Times New Roman" w:hAnsi="Times New Roman"/>
          <w:color w:val="202020"/>
          <w:lang w:val="et-EE" w:eastAsia="et-EE"/>
        </w:rPr>
        <w:t xml:space="preserve">need </w:t>
      </w:r>
      <w:r w:rsidRPr="00241E72">
        <w:rPr>
          <w:rFonts w:ascii="Times New Roman" w:hAnsi="Times New Roman"/>
          <w:color w:val="202020"/>
          <w:lang w:val="et-EE" w:eastAsia="et-EE"/>
        </w:rPr>
        <w:t>tagasi võtta, samuti võtta pensioni investeerimiskontol olev päritud raha välja.</w:t>
      </w:r>
      <w:r w:rsidR="00726413">
        <w:rPr>
          <w:rFonts w:ascii="Times New Roman" w:hAnsi="Times New Roman"/>
          <w:color w:val="202020"/>
          <w:lang w:val="et-EE" w:eastAsia="et-EE"/>
        </w:rPr>
        <w:t xml:space="preserve"> Lisaks on p</w:t>
      </w:r>
      <w:r w:rsidRPr="00241E72">
        <w:rPr>
          <w:rFonts w:ascii="Times New Roman" w:hAnsi="Times New Roman"/>
          <w:color w:val="202020"/>
          <w:lang w:val="et-EE" w:eastAsia="et-EE"/>
        </w:rPr>
        <w:t xml:space="preserve">ärijal õigus kanda pensioni investeerimiskontol olev päritud raha oma pensioni investeerimiskontole, registreerida pensioni investeerimiskonto kaudu soetatud finantsvara oma pensioni investeerimiskontoga seotud väärtpaberikontole või see finantsvara </w:t>
      </w:r>
      <w:r w:rsidRPr="00241E72">
        <w:rPr>
          <w:rFonts w:ascii="Times New Roman" w:hAnsi="Times New Roman"/>
          <w:color w:val="202020"/>
          <w:lang w:val="et-EE" w:eastAsia="et-EE"/>
        </w:rPr>
        <w:lastRenderedPageBreak/>
        <w:t>võõrandada ja finantsvara soetamisel sõlmitud leping lõpetada pensioni investeerimiskonto avanud krediidiasutusega sõlmitud lepingus, finantsvara soetamisel sõlmitud lepingus ja seaduses sätestatud tingimustel ja korras.</w:t>
      </w:r>
    </w:p>
    <w:p w14:paraId="7D7BFD4B" w14:textId="77777777" w:rsidR="00726413" w:rsidRDefault="00726413" w:rsidP="00D32BED">
      <w:pPr>
        <w:shd w:val="clear" w:color="auto" w:fill="FFFFFF"/>
        <w:jc w:val="both"/>
        <w:rPr>
          <w:rFonts w:ascii="Times New Roman" w:hAnsi="Times New Roman"/>
          <w:color w:val="202020"/>
          <w:lang w:val="et-EE" w:eastAsia="et-EE"/>
        </w:rPr>
      </w:pPr>
    </w:p>
    <w:p w14:paraId="17BD6B5D" w14:textId="0C93020B" w:rsidR="00726413" w:rsidRDefault="00726413" w:rsidP="00D32BED">
      <w:pPr>
        <w:shd w:val="clear" w:color="auto" w:fill="FFFFFF"/>
        <w:jc w:val="both"/>
        <w:rPr>
          <w:rFonts w:ascii="Times New Roman" w:hAnsi="Times New Roman"/>
          <w:color w:val="202020"/>
          <w:lang w:val="et-EE" w:eastAsia="et-EE"/>
        </w:rPr>
      </w:pPr>
      <w:r>
        <w:rPr>
          <w:rFonts w:ascii="Times New Roman" w:hAnsi="Times New Roman"/>
          <w:color w:val="202020"/>
          <w:lang w:val="et-EE" w:eastAsia="et-EE"/>
        </w:rPr>
        <w:t xml:space="preserve">Seega, kui pärija soovib päritud II samba vara võtta oma II sambasse (ei soovi väljamakset), kehtib üldine loogika, et esmalt tuleb päritud vara võtta enda kontole ning seejärel saab selle järgmise avaldusega vahetada omale sobiva II samba pensioni kogumise instrumendi vastu, näiteks vahetada kohustuslikku pensionifondi, kus pärija ka ise raha kogub. </w:t>
      </w:r>
    </w:p>
    <w:p w14:paraId="37F05E8C" w14:textId="77777777" w:rsidR="00726413" w:rsidRDefault="00726413" w:rsidP="00D32BED">
      <w:pPr>
        <w:shd w:val="clear" w:color="auto" w:fill="FFFFFF"/>
        <w:jc w:val="both"/>
        <w:rPr>
          <w:rFonts w:ascii="Times New Roman" w:hAnsi="Times New Roman"/>
          <w:color w:val="202020"/>
          <w:lang w:val="et-EE" w:eastAsia="et-EE"/>
        </w:rPr>
      </w:pPr>
    </w:p>
    <w:p w14:paraId="1A331379" w14:textId="6F126594" w:rsidR="00726413" w:rsidRPr="00A46E91" w:rsidRDefault="00726413" w:rsidP="00D32BED">
      <w:pPr>
        <w:jc w:val="both"/>
        <w:rPr>
          <w:rFonts w:ascii="Times New Roman" w:hAnsi="Times New Roman"/>
          <w:lang w:val="et-EE"/>
        </w:rPr>
      </w:pPr>
      <w:r>
        <w:rPr>
          <w:rFonts w:ascii="Times New Roman" w:hAnsi="Times New Roman"/>
          <w:lang w:val="et-EE"/>
        </w:rPr>
        <w:t>Eelnõuga</w:t>
      </w:r>
      <w:r w:rsidRPr="00A46E91">
        <w:rPr>
          <w:rFonts w:ascii="Times New Roman" w:hAnsi="Times New Roman"/>
          <w:lang w:val="et-EE"/>
        </w:rPr>
        <w:t xml:space="preserve"> laiendatakse pärija valikuid ning võimaldatakse tal päritud II samba pensionifondi osakud koheselt vahetada selle pensionifondi osakute vastu või kanda nende osakute tagasivõtmisel saadud raha </w:t>
      </w:r>
      <w:r>
        <w:rPr>
          <w:rFonts w:ascii="Times New Roman" w:hAnsi="Times New Roman"/>
          <w:lang w:val="et-EE"/>
        </w:rPr>
        <w:t xml:space="preserve">kohe </w:t>
      </w:r>
      <w:r w:rsidRPr="00A46E91">
        <w:rPr>
          <w:rFonts w:ascii="Times New Roman" w:hAnsi="Times New Roman"/>
          <w:lang w:val="et-EE"/>
        </w:rPr>
        <w:t>oma pensioni investeerimiskontole, kuhu laekub või peaks laekuma tema kogumispensioni makse. Pärimise protsess muutub sellega pärija jaoks mugavamaks, sest ta ei pea enam esmalt laskma surnud isikule kuulunud pensionifondi osakuid oma pensionikontole kanda, et neid siis alles seejärel oma pensionifondi osakute vastu vahetada. Samal ajal säilib ka võimalus surnud isiku pensionifondi osakute oma pensionikontole võtmiseks. Kui soovitakse valida mõne muu pensionifondi osakuid, siis see eeldab jätkuvalt</w:t>
      </w:r>
      <w:r>
        <w:rPr>
          <w:rFonts w:ascii="Times New Roman" w:hAnsi="Times New Roman"/>
          <w:lang w:val="et-EE"/>
        </w:rPr>
        <w:t xml:space="preserve"> eraldiseisvat pensionifondi osakute vahetustehingut ning esimese sammuna tuleks sellisel juhul päritud osakud oma pensionikontole võtta. Ka siis, kui pärija on valinud päritud pensionifondi osakute kohese vahetamise oma pensionifondi osakute vastu, on tal loomulikult hiljem võimalik neid osakuid mõne teise pensionifondi osakute vastu vahetada.  </w:t>
      </w:r>
    </w:p>
    <w:p w14:paraId="347EB70A" w14:textId="77777777" w:rsidR="00726413" w:rsidRPr="00A46E91" w:rsidRDefault="00726413" w:rsidP="00D32BED">
      <w:pPr>
        <w:jc w:val="both"/>
        <w:rPr>
          <w:rFonts w:ascii="Times New Roman" w:hAnsi="Times New Roman"/>
          <w:lang w:val="et-EE"/>
        </w:rPr>
      </w:pPr>
    </w:p>
    <w:p w14:paraId="7C40C94E" w14:textId="77777777" w:rsidR="00726413" w:rsidRPr="00A46E91" w:rsidRDefault="00726413" w:rsidP="00D32BED">
      <w:pPr>
        <w:jc w:val="both"/>
        <w:rPr>
          <w:rFonts w:ascii="Times New Roman" w:hAnsi="Times New Roman"/>
          <w:lang w:val="et-EE"/>
        </w:rPr>
      </w:pPr>
      <w:r w:rsidRPr="00A46E91">
        <w:rPr>
          <w:rFonts w:ascii="Times New Roman" w:hAnsi="Times New Roman"/>
          <w:lang w:val="et-EE"/>
        </w:rPr>
        <w:t xml:space="preserve">Kui pärija makse laekub või peaks laekuma pensioni investeerimiskontole, avaneb </w:t>
      </w:r>
      <w:r>
        <w:rPr>
          <w:rFonts w:ascii="Times New Roman" w:hAnsi="Times New Roman"/>
          <w:lang w:val="et-EE"/>
        </w:rPr>
        <w:t xml:space="preserve">eelnõu kohaselt </w:t>
      </w:r>
      <w:r w:rsidRPr="00A46E91">
        <w:rPr>
          <w:rFonts w:ascii="Times New Roman" w:hAnsi="Times New Roman"/>
          <w:lang w:val="et-EE"/>
        </w:rPr>
        <w:t>temal lisaks päritud pensionifondi osakute oma pensionikontole kandmisele võimalus need osakud kohe tagasi lasta võtta ja vastav summa oma pensioni investeerimiskontole võtta.</w:t>
      </w:r>
      <w:r>
        <w:rPr>
          <w:rFonts w:ascii="Times New Roman" w:hAnsi="Times New Roman"/>
          <w:lang w:val="et-EE"/>
        </w:rPr>
        <w:t xml:space="preserve"> </w:t>
      </w:r>
      <w:r w:rsidRPr="00A46E91">
        <w:rPr>
          <w:rFonts w:ascii="Times New Roman" w:hAnsi="Times New Roman"/>
          <w:lang w:val="et-EE"/>
        </w:rPr>
        <w:t xml:space="preserve"> </w:t>
      </w:r>
    </w:p>
    <w:p w14:paraId="5C77AAE6" w14:textId="77777777" w:rsidR="00726413" w:rsidRPr="00A46E91" w:rsidRDefault="00726413" w:rsidP="00D32BED">
      <w:pPr>
        <w:jc w:val="both"/>
        <w:rPr>
          <w:rFonts w:ascii="Times New Roman" w:hAnsi="Times New Roman"/>
          <w:lang w:val="et-EE"/>
        </w:rPr>
      </w:pPr>
    </w:p>
    <w:p w14:paraId="75E4133E" w14:textId="7B6970B4" w:rsidR="00726413" w:rsidRPr="00A46E91" w:rsidRDefault="00726413" w:rsidP="00D32BED">
      <w:pPr>
        <w:jc w:val="both"/>
        <w:rPr>
          <w:rFonts w:ascii="Times New Roman" w:hAnsi="Times New Roman"/>
          <w:lang w:val="et-EE"/>
        </w:rPr>
      </w:pPr>
      <w:r w:rsidRPr="00A46E91">
        <w:rPr>
          <w:rFonts w:ascii="Times New Roman" w:hAnsi="Times New Roman"/>
          <w:lang w:val="et-EE"/>
        </w:rPr>
        <w:t>Kui päritakse pensioni investeerimiskontol olev raha, siis ka selle luba</w:t>
      </w:r>
      <w:r>
        <w:rPr>
          <w:rFonts w:ascii="Times New Roman" w:hAnsi="Times New Roman"/>
          <w:lang w:val="et-EE"/>
        </w:rPr>
        <w:t>b</w:t>
      </w:r>
      <w:r w:rsidRPr="00A46E91">
        <w:rPr>
          <w:rFonts w:ascii="Times New Roman" w:hAnsi="Times New Roman"/>
          <w:lang w:val="et-EE"/>
        </w:rPr>
        <w:t xml:space="preserve"> </w:t>
      </w:r>
      <w:r>
        <w:rPr>
          <w:rFonts w:ascii="Times New Roman" w:hAnsi="Times New Roman"/>
          <w:lang w:val="et-EE"/>
        </w:rPr>
        <w:t>eelnõu</w:t>
      </w:r>
      <w:r w:rsidRPr="00A46E91">
        <w:rPr>
          <w:rFonts w:ascii="Times New Roman" w:hAnsi="Times New Roman"/>
          <w:lang w:val="et-EE"/>
        </w:rPr>
        <w:t xml:space="preserve"> </w:t>
      </w:r>
      <w:r w:rsidR="003F583A">
        <w:rPr>
          <w:rFonts w:ascii="Times New Roman" w:hAnsi="Times New Roman"/>
          <w:lang w:val="et-EE"/>
        </w:rPr>
        <w:t xml:space="preserve">kohe </w:t>
      </w:r>
      <w:r w:rsidRPr="00A46E91">
        <w:rPr>
          <w:rFonts w:ascii="Times New Roman" w:hAnsi="Times New Roman"/>
          <w:lang w:val="et-EE"/>
        </w:rPr>
        <w:t xml:space="preserve">kanda, kas pensionifondi või pensioni investeerimiskontole, kuhu laekub või peaks laekuma pärija kogumispensioni makse. </w:t>
      </w:r>
    </w:p>
    <w:p w14:paraId="75BFA2A5" w14:textId="77777777" w:rsidR="00726413" w:rsidRDefault="00726413" w:rsidP="00D32BED">
      <w:pPr>
        <w:shd w:val="clear" w:color="auto" w:fill="FFFFFF"/>
        <w:jc w:val="both"/>
        <w:rPr>
          <w:rFonts w:ascii="Times New Roman" w:hAnsi="Times New Roman"/>
          <w:color w:val="202020"/>
          <w:lang w:val="et-EE" w:eastAsia="et-EE"/>
        </w:rPr>
      </w:pPr>
    </w:p>
    <w:p w14:paraId="1DFC4BB0" w14:textId="77777777" w:rsidR="0004675A" w:rsidRDefault="00726413" w:rsidP="00D32BED">
      <w:pPr>
        <w:shd w:val="clear" w:color="auto" w:fill="FFFFFF"/>
        <w:jc w:val="both"/>
        <w:rPr>
          <w:rFonts w:ascii="Times New Roman" w:hAnsi="Times New Roman"/>
          <w:color w:val="202020"/>
          <w:lang w:val="et-EE" w:eastAsia="et-EE"/>
        </w:rPr>
      </w:pPr>
      <w:r>
        <w:rPr>
          <w:rFonts w:ascii="Times New Roman" w:hAnsi="Times New Roman"/>
          <w:color w:val="202020"/>
          <w:lang w:val="et-EE" w:eastAsia="et-EE"/>
        </w:rPr>
        <w:t>Pärijate jaoks, kes soovivad, et päritud II samba vara</w:t>
      </w:r>
      <w:r w:rsidR="007422D0">
        <w:rPr>
          <w:rFonts w:ascii="Times New Roman" w:hAnsi="Times New Roman"/>
          <w:color w:val="202020"/>
          <w:lang w:val="et-EE" w:eastAsia="et-EE"/>
        </w:rPr>
        <w:t>le vastav summa</w:t>
      </w:r>
      <w:r>
        <w:rPr>
          <w:rFonts w:ascii="Times New Roman" w:hAnsi="Times New Roman"/>
          <w:color w:val="202020"/>
          <w:lang w:val="et-EE" w:eastAsia="et-EE"/>
        </w:rPr>
        <w:t xml:space="preserve"> jõuaks pensionifondi või pensioni investeer</w:t>
      </w:r>
      <w:r w:rsidR="007422D0">
        <w:rPr>
          <w:rFonts w:ascii="Times New Roman" w:hAnsi="Times New Roman"/>
          <w:color w:val="202020"/>
          <w:lang w:val="et-EE" w:eastAsia="et-EE"/>
        </w:rPr>
        <w:t xml:space="preserve">imiskontole, mida nad ise II sambas pensioni kogumiseks kasutavad, muutub protsess seega sujuvamaks, sest väheneb ühe avalduse võrra. Pärija jaoks, kes soovibki just päritud pensionifondi osakuid oma pensionikontole, ei muutu midagi.   </w:t>
      </w:r>
    </w:p>
    <w:p w14:paraId="717BC58E" w14:textId="77777777" w:rsidR="0004675A" w:rsidRDefault="0004675A" w:rsidP="00D32BED">
      <w:pPr>
        <w:shd w:val="clear" w:color="auto" w:fill="FFFFFF"/>
        <w:jc w:val="both"/>
        <w:rPr>
          <w:rFonts w:ascii="Times New Roman" w:hAnsi="Times New Roman"/>
          <w:color w:val="202020"/>
          <w:lang w:val="et-EE" w:eastAsia="et-EE"/>
        </w:rPr>
      </w:pPr>
    </w:p>
    <w:p w14:paraId="78C95250" w14:textId="48ABC31A" w:rsidR="0004675A" w:rsidRDefault="0004675A" w:rsidP="0004675A">
      <w:pPr>
        <w:shd w:val="clear" w:color="auto" w:fill="FFFFFF"/>
        <w:jc w:val="both"/>
        <w:rPr>
          <w:rFonts w:ascii="Times New Roman" w:hAnsi="Times New Roman"/>
          <w:color w:val="202020"/>
          <w:lang w:val="et-EE" w:eastAsia="et-EE"/>
        </w:rPr>
      </w:pPr>
      <w:r>
        <w:rPr>
          <w:rFonts w:ascii="Times New Roman" w:hAnsi="Times New Roman"/>
          <w:color w:val="202020"/>
          <w:lang w:val="et-EE" w:eastAsia="et-EE"/>
        </w:rPr>
        <w:t xml:space="preserve">Garantiiperioodiga pensionilepingute puhul </w:t>
      </w:r>
      <w:r w:rsidRPr="0004675A">
        <w:rPr>
          <w:rFonts w:ascii="Times New Roman" w:hAnsi="Times New Roman"/>
          <w:color w:val="202020"/>
          <w:lang w:val="et-EE" w:eastAsia="et-EE"/>
        </w:rPr>
        <w:t xml:space="preserve">on pärast garantiiperioodi jooksul aset leidnud kindlustusvõtja surma nimetatud perioodi lõpuni tegemata jäänud pensionimaksete summas väljamaksele või väljamaksetele õigus </w:t>
      </w:r>
      <w:r>
        <w:rPr>
          <w:rFonts w:ascii="Times New Roman" w:hAnsi="Times New Roman"/>
          <w:color w:val="202020"/>
          <w:lang w:val="et-EE" w:eastAsia="et-EE"/>
        </w:rPr>
        <w:t xml:space="preserve">selle lepingu </w:t>
      </w:r>
      <w:r w:rsidRPr="0004675A">
        <w:rPr>
          <w:rFonts w:ascii="Times New Roman" w:hAnsi="Times New Roman"/>
          <w:color w:val="202020"/>
          <w:lang w:val="et-EE" w:eastAsia="et-EE"/>
        </w:rPr>
        <w:t>soodustatud isikul.</w:t>
      </w:r>
      <w:r w:rsidR="00C64B7A">
        <w:rPr>
          <w:rFonts w:ascii="Times New Roman" w:hAnsi="Times New Roman"/>
          <w:color w:val="202020"/>
          <w:lang w:val="et-EE" w:eastAsia="et-EE"/>
        </w:rPr>
        <w:t xml:space="preserve"> Kui soodustatud isik on ka ise läinud pensionile ja tal on samuti sõlmitud pensionileping, on tal väljamakse kõrval võimalik valida ka selle summa kandmine oma pensionilepingusse täiendava kindlustusmaksena. Soodustatud isikule tehtavat väljamakset käsitletakse kui iga teist tulu ja see on maksustatud tulumaksuga. Võttes summa oma II sambasse, kohalduvad raha väljavõtmisel aga II samba maksureeglid. Seejuures on eluaegne ja vähemalt keskmiselt elada jäänud tähtajaline pension maksuvabad ning lühem tähtajaline pension ja ühekordsed väljamaksed pensionieas maksustatud soodsamas määras (tulumaks on 10%).</w:t>
      </w:r>
    </w:p>
    <w:p w14:paraId="5D24BD69" w14:textId="77777777" w:rsidR="00C64B7A" w:rsidRDefault="00C64B7A" w:rsidP="0004675A">
      <w:pPr>
        <w:shd w:val="clear" w:color="auto" w:fill="FFFFFF"/>
        <w:jc w:val="both"/>
        <w:rPr>
          <w:rFonts w:ascii="Times New Roman" w:hAnsi="Times New Roman"/>
          <w:color w:val="202020"/>
          <w:lang w:val="et-EE" w:eastAsia="et-EE"/>
        </w:rPr>
      </w:pPr>
    </w:p>
    <w:p w14:paraId="585A2CE8" w14:textId="500B1D88" w:rsidR="006F3AC2" w:rsidRDefault="00C64B7A" w:rsidP="00D32BED">
      <w:pPr>
        <w:widowControl w:val="0"/>
        <w:tabs>
          <w:tab w:val="left" w:pos="1560"/>
        </w:tabs>
        <w:autoSpaceDE w:val="0"/>
        <w:autoSpaceDN w:val="0"/>
        <w:adjustRightInd w:val="0"/>
        <w:jc w:val="both"/>
        <w:rPr>
          <w:rFonts w:ascii="Times New Roman" w:hAnsi="Times New Roman"/>
          <w:lang w:val="et-EE"/>
        </w:rPr>
      </w:pPr>
      <w:r>
        <w:rPr>
          <w:rFonts w:ascii="Times New Roman" w:hAnsi="Times New Roman"/>
          <w:color w:val="202020"/>
          <w:lang w:val="et-EE" w:eastAsia="et-EE"/>
        </w:rPr>
        <w:t xml:space="preserve">Eelnõuga võrdsustatakse soodustatud isikute õigusi ning soodustatud isiku ja pensionifondi või pensioni investeerimiskontol oleva raha või selle kaudu soetatud finantsvara pärijate võimalusi. Selleks antakse ka neile soodustatud isikutele, kel ei ole omal pensionilepingut veel sõlmitud, õigus soovi korral neile muidu väljamaksmisele kuuluv summa oma pensionifondi või pensioni investeerimiskontole võtta. Kui sellist pensionifondi või pensioni investeerimiskontot ei ole, kuhu laekub või viimati laekus soodustatud isiku kogumispensioni makse, tuleb esmalt esitada </w:t>
      </w:r>
      <w:r>
        <w:rPr>
          <w:rFonts w:ascii="Times New Roman" w:hAnsi="Times New Roman"/>
          <w:color w:val="202020"/>
          <w:lang w:val="et-EE" w:eastAsia="et-EE"/>
        </w:rPr>
        <w:lastRenderedPageBreak/>
        <w:t xml:space="preserve">valikuavaldus fondi või pensioni investeerimiskonto valikuks. Ka soodustatud isikul, kes ei ole II sambaga liitunud, on soovi korral võimalik sambaga liituda (valikuavalduse esitamine) ning talle soodustatud isikuna väljamaksmisele kuuluv summa hoopis oma II sambasse siis võtta. </w:t>
      </w:r>
    </w:p>
    <w:p w14:paraId="290DCA99" w14:textId="77777777" w:rsidR="00E9220C" w:rsidRDefault="00E9220C" w:rsidP="00D32BED">
      <w:pPr>
        <w:widowControl w:val="0"/>
        <w:tabs>
          <w:tab w:val="left" w:pos="1560"/>
        </w:tabs>
        <w:autoSpaceDE w:val="0"/>
        <w:autoSpaceDN w:val="0"/>
        <w:adjustRightInd w:val="0"/>
        <w:jc w:val="both"/>
        <w:rPr>
          <w:rFonts w:ascii="Times New Roman" w:hAnsi="Times New Roman"/>
          <w:b/>
          <w:bCs/>
          <w:lang w:val="et-EE"/>
        </w:rPr>
      </w:pPr>
    </w:p>
    <w:p w14:paraId="5FA95E16" w14:textId="4F1D1079" w:rsidR="00F81215" w:rsidRPr="00F81215" w:rsidRDefault="00F81215" w:rsidP="00D32BED">
      <w:pPr>
        <w:widowControl w:val="0"/>
        <w:tabs>
          <w:tab w:val="left" w:pos="1560"/>
        </w:tabs>
        <w:autoSpaceDE w:val="0"/>
        <w:autoSpaceDN w:val="0"/>
        <w:adjustRightInd w:val="0"/>
        <w:jc w:val="both"/>
        <w:rPr>
          <w:rFonts w:ascii="Times New Roman" w:hAnsi="Times New Roman"/>
          <w:b/>
          <w:bCs/>
          <w:lang w:val="et-EE"/>
        </w:rPr>
      </w:pPr>
      <w:r w:rsidRPr="00F81215">
        <w:rPr>
          <w:rFonts w:ascii="Times New Roman" w:hAnsi="Times New Roman"/>
          <w:b/>
          <w:bCs/>
          <w:lang w:val="et-EE"/>
        </w:rPr>
        <w:t>2.1.</w:t>
      </w:r>
      <w:r w:rsidR="008A0094">
        <w:rPr>
          <w:rFonts w:ascii="Times New Roman" w:hAnsi="Times New Roman"/>
          <w:b/>
          <w:bCs/>
          <w:lang w:val="et-EE"/>
        </w:rPr>
        <w:t>4</w:t>
      </w:r>
      <w:r w:rsidRPr="00F81215">
        <w:rPr>
          <w:rFonts w:ascii="Times New Roman" w:hAnsi="Times New Roman"/>
          <w:b/>
          <w:bCs/>
          <w:lang w:val="et-EE"/>
        </w:rPr>
        <w:t>. III samba vahetustehingud – täiendava kogumispensioni kindlustuslepingusse kogutud rahast osa viimine teise kindlustuslepingusse või vabatahtlikku pensionifondi</w:t>
      </w:r>
    </w:p>
    <w:p w14:paraId="7B9E0EF8" w14:textId="03A17EDA" w:rsidR="00F0622E" w:rsidRDefault="00F0622E" w:rsidP="00D32BED">
      <w:pPr>
        <w:jc w:val="both"/>
        <w:rPr>
          <w:rFonts w:ascii="Times New Roman" w:hAnsi="Times New Roman"/>
          <w:lang w:val="et-EE"/>
        </w:rPr>
      </w:pPr>
      <w:r>
        <w:rPr>
          <w:rFonts w:ascii="Times New Roman" w:hAnsi="Times New Roman"/>
          <w:lang w:val="et-EE"/>
        </w:rPr>
        <w:t>Kui pensionikoguja soovib vahetada pensionifondi, saab ta vahetada korraga kõik osakud, aga võib vahetada ka vaid osa neist teise pensionifondi osakute vastu. See on nii II ja III samba puhul. III sambas on pensionifondist lisaks võimalik viia vahetamise käigus ka osa või kogu raha täiendava kogumispensioni kindlustuslepingusse. KoPS lubab vahetada ka täiendava kogumispensioni kindlustuslepinguid ja liikuda kindlustuslepingust vabatahtlikku pensionifondi. Eelduseks on siinkohal olnud, et täiendava kogumispensioni kindlustusleping, mida raha kogumiseks enam kasutada ei soovita, öeldakse üles. Nii näeb KoPS § 63 lõige 5</w:t>
      </w:r>
      <w:r>
        <w:rPr>
          <w:rFonts w:ascii="Times New Roman" w:hAnsi="Times New Roman"/>
          <w:vertAlign w:val="superscript"/>
          <w:lang w:val="et-EE"/>
        </w:rPr>
        <w:t>1</w:t>
      </w:r>
      <w:r>
        <w:rPr>
          <w:rFonts w:ascii="Times New Roman" w:hAnsi="Times New Roman"/>
          <w:lang w:val="et-EE"/>
        </w:rPr>
        <w:t xml:space="preserve"> ette, et vabatahtliku pensionifondi osakute omandamiseks või kindlustusvõtja teise või uue sõlmitud täiendava kogumispensioni kindlustuslepingu kindlustusmakse tasumiseks võib kasutada ülesöeldud täiendava kogumispensioni kindlustuslepingu osa või kogu tagastusväärtust. </w:t>
      </w:r>
    </w:p>
    <w:p w14:paraId="4E647544" w14:textId="77777777" w:rsidR="00F0622E" w:rsidRDefault="00F0622E" w:rsidP="00D32BED">
      <w:pPr>
        <w:jc w:val="both"/>
        <w:rPr>
          <w:rFonts w:ascii="Times New Roman" w:hAnsi="Times New Roman"/>
          <w:lang w:val="et-EE"/>
        </w:rPr>
      </w:pPr>
    </w:p>
    <w:p w14:paraId="345FAA91" w14:textId="33068450" w:rsidR="00614A61" w:rsidRDefault="00F0622E" w:rsidP="00D32BED">
      <w:pPr>
        <w:jc w:val="both"/>
        <w:rPr>
          <w:rFonts w:ascii="Times New Roman" w:hAnsi="Times New Roman"/>
          <w:lang w:val="et-EE"/>
        </w:rPr>
      </w:pPr>
      <w:r>
        <w:rPr>
          <w:rFonts w:ascii="Times New Roman" w:hAnsi="Times New Roman"/>
          <w:lang w:val="et-EE"/>
        </w:rPr>
        <w:t>Praktikas võib täiendava kogumispensioni kindlustuslepingut sõlmida ka tingimustel, mis lubavad osalist raha väljavõtmist lepingu kehtivuse ajal. Sellest lähtuvalt täpsustatakse eelnõuga KoPSis sätestatud III samba vahetamise regulatsiooni ja võimaldatakse ühest lepingust teise kanda või lepingust vabatahtlikku pensionifondi kanda raha ka nii, et ühe kindlustuslepingu ülesütlemine ei oleks eeltingimuseks.</w:t>
      </w:r>
      <w:r w:rsidR="00614A61">
        <w:rPr>
          <w:rFonts w:ascii="Times New Roman" w:hAnsi="Times New Roman"/>
          <w:lang w:val="et-EE"/>
        </w:rPr>
        <w:t xml:space="preserve"> Eelnõu võrdsustab vabatahtlikus pensionifondis ja täiendava kogumispensioni kindlustuslepingus pensioni kogumise tingimusi.  </w:t>
      </w:r>
    </w:p>
    <w:p w14:paraId="2C6F6CD6" w14:textId="77777777" w:rsidR="00614A61" w:rsidRDefault="00614A61" w:rsidP="00D32BED">
      <w:pPr>
        <w:jc w:val="both"/>
        <w:rPr>
          <w:rFonts w:ascii="Times New Roman" w:hAnsi="Times New Roman"/>
          <w:lang w:val="et-EE"/>
        </w:rPr>
      </w:pPr>
    </w:p>
    <w:p w14:paraId="6017C6D9" w14:textId="143A8AE0" w:rsidR="00F0622E" w:rsidRPr="00F0622E" w:rsidRDefault="00614A61" w:rsidP="00D32BED">
      <w:pPr>
        <w:jc w:val="both"/>
        <w:rPr>
          <w:rFonts w:ascii="Times New Roman" w:hAnsi="Times New Roman"/>
          <w:lang w:val="et-EE"/>
        </w:rPr>
      </w:pPr>
      <w:r>
        <w:rPr>
          <w:rFonts w:ascii="Times New Roman" w:hAnsi="Times New Roman"/>
          <w:lang w:val="et-EE"/>
        </w:rPr>
        <w:t>Vahetustehingute käigus pensionikogujale vahepeal väljamakset ei tehta ja raha liigub vabatahtlike pensionifondide või täiendava kogumispensioni kindlustuslepingute või pensionifondi ja kindlustuslepingu vahel</w:t>
      </w:r>
      <w:r w:rsidR="0094759A">
        <w:rPr>
          <w:rFonts w:ascii="Times New Roman" w:hAnsi="Times New Roman"/>
          <w:lang w:val="et-EE"/>
        </w:rPr>
        <w:t>, mistõttu ei toimu sellisel raha liigutamisel ka maksustamist.</w:t>
      </w:r>
      <w:r>
        <w:rPr>
          <w:rFonts w:ascii="Times New Roman" w:hAnsi="Times New Roman"/>
          <w:lang w:val="et-EE"/>
        </w:rPr>
        <w:t xml:space="preserve"> </w:t>
      </w:r>
      <w:r w:rsidR="0094759A">
        <w:rPr>
          <w:rFonts w:ascii="Times New Roman" w:hAnsi="Times New Roman"/>
          <w:lang w:val="et-EE"/>
        </w:rPr>
        <w:t xml:space="preserve">Vastavad sõnastuslikud täpsustused tehakse ka TuMS §-s 21. </w:t>
      </w:r>
      <w:r>
        <w:rPr>
          <w:rFonts w:ascii="Times New Roman" w:hAnsi="Times New Roman"/>
          <w:lang w:val="et-EE"/>
        </w:rPr>
        <w:t xml:space="preserve"> </w:t>
      </w:r>
      <w:r w:rsidR="00F0622E">
        <w:rPr>
          <w:rFonts w:ascii="Times New Roman" w:hAnsi="Times New Roman"/>
          <w:lang w:val="et-EE"/>
        </w:rPr>
        <w:t xml:space="preserve"> </w:t>
      </w:r>
    </w:p>
    <w:p w14:paraId="6233E9A9" w14:textId="77777777" w:rsidR="00F0622E" w:rsidRDefault="00F0622E" w:rsidP="00D32BED">
      <w:pPr>
        <w:jc w:val="both"/>
        <w:rPr>
          <w:rFonts w:ascii="Times New Roman" w:hAnsi="Times New Roman"/>
          <w:lang w:val="et-EE"/>
        </w:rPr>
      </w:pPr>
    </w:p>
    <w:p w14:paraId="05C514EE" w14:textId="4923EE73" w:rsidR="0094759A" w:rsidRDefault="0094759A" w:rsidP="00D32BED">
      <w:pPr>
        <w:widowControl w:val="0"/>
        <w:tabs>
          <w:tab w:val="left" w:pos="1560"/>
        </w:tabs>
        <w:autoSpaceDE w:val="0"/>
        <w:autoSpaceDN w:val="0"/>
        <w:adjustRightInd w:val="0"/>
        <w:jc w:val="both"/>
        <w:rPr>
          <w:rFonts w:ascii="Times New Roman" w:hAnsi="Times New Roman"/>
          <w:b/>
          <w:bCs/>
          <w:u w:color="0000FF"/>
          <w:lang w:val="et-EE"/>
        </w:rPr>
      </w:pPr>
      <w:r>
        <w:rPr>
          <w:rFonts w:ascii="Times New Roman" w:hAnsi="Times New Roman"/>
          <w:b/>
          <w:bCs/>
          <w:u w:color="0000FF"/>
          <w:lang w:val="et-EE"/>
        </w:rPr>
        <w:t>2.1.</w:t>
      </w:r>
      <w:r w:rsidR="008A0094">
        <w:rPr>
          <w:rFonts w:ascii="Times New Roman" w:hAnsi="Times New Roman"/>
          <w:b/>
          <w:bCs/>
          <w:u w:color="0000FF"/>
          <w:lang w:val="et-EE"/>
        </w:rPr>
        <w:t>5</w:t>
      </w:r>
      <w:r>
        <w:rPr>
          <w:rFonts w:ascii="Times New Roman" w:hAnsi="Times New Roman"/>
          <w:b/>
          <w:bCs/>
          <w:u w:color="0000FF"/>
          <w:lang w:val="et-EE"/>
        </w:rPr>
        <w:t>. Jätkusuutlikkusteguritega arvestamine II sambas</w:t>
      </w:r>
    </w:p>
    <w:p w14:paraId="74C0A455" w14:textId="632CC326" w:rsidR="0094759A" w:rsidRDefault="0094759A"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Määruse 2019/2088 kohaselt tuleb f</w:t>
      </w:r>
      <w:r w:rsidRPr="00850A5D">
        <w:rPr>
          <w:rFonts w:ascii="Times New Roman" w:hAnsi="Times New Roman"/>
          <w:u w:color="0000FF"/>
          <w:lang w:val="et-EE"/>
        </w:rPr>
        <w:t>inantsturu osalis</w:t>
      </w:r>
      <w:r>
        <w:rPr>
          <w:rFonts w:ascii="Times New Roman" w:hAnsi="Times New Roman"/>
          <w:u w:color="0000FF"/>
          <w:lang w:val="et-EE"/>
        </w:rPr>
        <w:t>t</w:t>
      </w:r>
      <w:r w:rsidRPr="00850A5D">
        <w:rPr>
          <w:rFonts w:ascii="Times New Roman" w:hAnsi="Times New Roman"/>
          <w:u w:color="0000FF"/>
          <w:lang w:val="et-EE"/>
        </w:rPr>
        <w:t>e</w:t>
      </w:r>
      <w:r>
        <w:rPr>
          <w:rFonts w:ascii="Times New Roman" w:hAnsi="Times New Roman"/>
          <w:u w:color="0000FF"/>
          <w:lang w:val="et-EE"/>
        </w:rPr>
        <w:t>l</w:t>
      </w:r>
      <w:r w:rsidRPr="00850A5D">
        <w:rPr>
          <w:rFonts w:ascii="Times New Roman" w:hAnsi="Times New Roman"/>
          <w:u w:color="0000FF"/>
          <w:lang w:val="et-EE"/>
        </w:rPr>
        <w:t xml:space="preserve"> avalda</w:t>
      </w:r>
      <w:r>
        <w:rPr>
          <w:rFonts w:ascii="Times New Roman" w:hAnsi="Times New Roman"/>
          <w:u w:color="0000FF"/>
          <w:lang w:val="et-EE"/>
        </w:rPr>
        <w:t>da</w:t>
      </w:r>
      <w:r w:rsidRPr="00850A5D">
        <w:rPr>
          <w:rFonts w:ascii="Times New Roman" w:hAnsi="Times New Roman"/>
          <w:u w:color="0000FF"/>
          <w:lang w:val="et-EE"/>
        </w:rPr>
        <w:t xml:space="preserve"> oma v</w:t>
      </w:r>
      <w:r>
        <w:rPr>
          <w:rFonts w:ascii="Times New Roman" w:hAnsi="Times New Roman"/>
          <w:u w:color="0000FF"/>
          <w:lang w:val="et-EE"/>
        </w:rPr>
        <w:t xml:space="preserve">eebilehtedel mitmesugust teavet jätkusuutlikkusriskide kohta, sealhulgas näiteks </w:t>
      </w:r>
      <w:r w:rsidRPr="00850A5D">
        <w:rPr>
          <w:rFonts w:ascii="Times New Roman" w:hAnsi="Times New Roman"/>
          <w:u w:color="0000FF"/>
          <w:lang w:val="et-EE"/>
        </w:rPr>
        <w:t xml:space="preserve">põhimõtete kohta, mida </w:t>
      </w:r>
      <w:r>
        <w:rPr>
          <w:rFonts w:ascii="Times New Roman" w:hAnsi="Times New Roman"/>
          <w:u w:color="0000FF"/>
          <w:lang w:val="et-EE"/>
        </w:rPr>
        <w:t xml:space="preserve">nad </w:t>
      </w:r>
      <w:r w:rsidRPr="00850A5D">
        <w:rPr>
          <w:rFonts w:ascii="Times New Roman" w:hAnsi="Times New Roman"/>
          <w:u w:color="0000FF"/>
          <w:lang w:val="et-EE"/>
        </w:rPr>
        <w:t>järgi</w:t>
      </w:r>
      <w:r>
        <w:rPr>
          <w:rFonts w:ascii="Times New Roman" w:hAnsi="Times New Roman"/>
          <w:u w:color="0000FF"/>
          <w:lang w:val="et-EE"/>
        </w:rPr>
        <w:t>vad</w:t>
      </w:r>
      <w:r w:rsidRPr="00850A5D">
        <w:rPr>
          <w:rFonts w:ascii="Times New Roman" w:hAnsi="Times New Roman"/>
          <w:u w:color="0000FF"/>
          <w:lang w:val="et-EE"/>
        </w:rPr>
        <w:t xml:space="preserve"> jätkusuutlikkusriskide</w:t>
      </w:r>
      <w:r>
        <w:rPr>
          <w:rFonts w:ascii="Times New Roman" w:hAnsi="Times New Roman"/>
          <w:u w:color="0000FF"/>
          <w:lang w:val="et-EE"/>
        </w:rPr>
        <w:t xml:space="preserve"> </w:t>
      </w:r>
      <w:r w:rsidRPr="00850A5D">
        <w:rPr>
          <w:rFonts w:ascii="Times New Roman" w:hAnsi="Times New Roman"/>
          <w:u w:color="0000FF"/>
          <w:lang w:val="et-EE"/>
        </w:rPr>
        <w:t xml:space="preserve">lõimimisel investeerimisotsuste </w:t>
      </w:r>
      <w:r>
        <w:rPr>
          <w:rFonts w:ascii="Times New Roman" w:hAnsi="Times New Roman"/>
          <w:u w:color="0000FF"/>
          <w:lang w:val="et-EE"/>
        </w:rPr>
        <w:t xml:space="preserve">langetamise </w:t>
      </w:r>
      <w:r w:rsidRPr="00850A5D">
        <w:rPr>
          <w:rFonts w:ascii="Times New Roman" w:hAnsi="Times New Roman"/>
          <w:u w:color="0000FF"/>
          <w:lang w:val="et-EE"/>
        </w:rPr>
        <w:t>protsessi</w:t>
      </w:r>
      <w:r>
        <w:rPr>
          <w:rFonts w:ascii="Times New Roman" w:hAnsi="Times New Roman"/>
          <w:u w:color="0000FF"/>
          <w:lang w:val="et-EE"/>
        </w:rPr>
        <w:t xml:space="preserve">, hoiatavat teavet selle kohta, kui nad leiavad, et investeerimisotsused mõjutavad jätkusuutlikkustegureid põhiliselt negatiivselt või kui investeeringute tegemisel selliseid mõjusid ei hinnata ega arvestata, siis põhjendused selle kohta. Määrus peab finantsturu osaliste all silmas väärtpaberiportfelli valitsemise teenust osutavaid krediidiasutusi ja investeerimisühinguid, kindlustuspõhiseid investeerimistooteid pakkuvaid </w:t>
      </w:r>
      <w:r w:rsidRPr="00850A5D">
        <w:rPr>
          <w:rFonts w:ascii="Times New Roman" w:hAnsi="Times New Roman"/>
          <w:u w:color="0000FF"/>
          <w:lang w:val="et-EE"/>
        </w:rPr>
        <w:t>kindlustusandja</w:t>
      </w:r>
      <w:r>
        <w:rPr>
          <w:rFonts w:ascii="Times New Roman" w:hAnsi="Times New Roman"/>
          <w:u w:color="0000FF"/>
          <w:lang w:val="et-EE"/>
        </w:rPr>
        <w:t>id</w:t>
      </w:r>
      <w:r w:rsidRPr="00850A5D">
        <w:rPr>
          <w:rFonts w:ascii="Times New Roman" w:hAnsi="Times New Roman"/>
          <w:u w:color="0000FF"/>
          <w:lang w:val="et-EE"/>
        </w:rPr>
        <w:t>,</w:t>
      </w:r>
      <w:r>
        <w:rPr>
          <w:rFonts w:ascii="Times New Roman" w:hAnsi="Times New Roman"/>
          <w:u w:color="0000FF"/>
          <w:lang w:val="et-EE"/>
        </w:rPr>
        <w:t xml:space="preserve"> </w:t>
      </w:r>
      <w:r w:rsidRPr="00850A5D">
        <w:rPr>
          <w:rFonts w:ascii="Times New Roman" w:hAnsi="Times New Roman"/>
          <w:u w:color="0000FF"/>
          <w:lang w:val="et-EE"/>
        </w:rPr>
        <w:t>tööandja kogumispensioni asutus</w:t>
      </w:r>
      <w:r>
        <w:rPr>
          <w:rFonts w:ascii="Times New Roman" w:hAnsi="Times New Roman"/>
          <w:u w:color="0000FF"/>
          <w:lang w:val="et-EE"/>
        </w:rPr>
        <w:t xml:space="preserve">i (meil tööandja pensionifondi valitseja), </w:t>
      </w:r>
      <w:r w:rsidRPr="00850A5D">
        <w:rPr>
          <w:rFonts w:ascii="Times New Roman" w:hAnsi="Times New Roman"/>
          <w:u w:color="0000FF"/>
          <w:lang w:val="et-EE"/>
        </w:rPr>
        <w:t>pensionitoo</w:t>
      </w:r>
      <w:r>
        <w:rPr>
          <w:rFonts w:ascii="Times New Roman" w:hAnsi="Times New Roman"/>
          <w:u w:color="0000FF"/>
          <w:lang w:val="et-EE"/>
        </w:rPr>
        <w:t>d</w:t>
      </w:r>
      <w:r w:rsidRPr="00850A5D">
        <w:rPr>
          <w:rFonts w:ascii="Times New Roman" w:hAnsi="Times New Roman"/>
          <w:u w:color="0000FF"/>
          <w:lang w:val="et-EE"/>
        </w:rPr>
        <w:t>e</w:t>
      </w:r>
      <w:r>
        <w:rPr>
          <w:rFonts w:ascii="Times New Roman" w:hAnsi="Times New Roman"/>
          <w:u w:color="0000FF"/>
          <w:lang w:val="et-EE"/>
        </w:rPr>
        <w:t>te</w:t>
      </w:r>
      <w:r w:rsidRPr="00850A5D">
        <w:rPr>
          <w:rFonts w:ascii="Times New Roman" w:hAnsi="Times New Roman"/>
          <w:u w:color="0000FF"/>
          <w:lang w:val="et-EE"/>
        </w:rPr>
        <w:t xml:space="preserve"> väljatöötaja</w:t>
      </w:r>
      <w:r>
        <w:rPr>
          <w:rFonts w:ascii="Times New Roman" w:hAnsi="Times New Roman"/>
          <w:u w:color="0000FF"/>
          <w:lang w:val="et-EE"/>
        </w:rPr>
        <w:t xml:space="preserve">id, </w:t>
      </w:r>
      <w:r w:rsidRPr="00850A5D">
        <w:rPr>
          <w:rFonts w:ascii="Times New Roman" w:hAnsi="Times New Roman"/>
          <w:u w:color="0000FF"/>
          <w:lang w:val="et-EE"/>
        </w:rPr>
        <w:t>üleeuroopalise personaalse pensionitoote (PEPP) pakkuja</w:t>
      </w:r>
      <w:r>
        <w:rPr>
          <w:rFonts w:ascii="Times New Roman" w:hAnsi="Times New Roman"/>
          <w:u w:color="0000FF"/>
          <w:lang w:val="et-EE"/>
        </w:rPr>
        <w:t xml:space="preserve">id, eurofondi ja </w:t>
      </w:r>
      <w:r w:rsidRPr="00850A5D">
        <w:rPr>
          <w:rFonts w:ascii="Times New Roman" w:hAnsi="Times New Roman"/>
          <w:u w:color="0000FF"/>
          <w:lang w:val="et-EE"/>
        </w:rPr>
        <w:t>alternatiivfondi valitseja</w:t>
      </w:r>
      <w:r>
        <w:rPr>
          <w:rFonts w:ascii="Times New Roman" w:hAnsi="Times New Roman"/>
          <w:u w:color="0000FF"/>
          <w:lang w:val="et-EE"/>
        </w:rPr>
        <w:t>id ning määruste (EL) nr 345/2013 artiklis 14 ja (EL) 346/2013 artiklis 15 vastavalt nimetatud riskikapitalifondi ja sotsiaalettevõtlusfondi valitsejaid. Seejuures on pensionitoodete väljatöötajate all omakorda peetud silmas selliseid ettevõt</w:t>
      </w:r>
      <w:r w:rsidR="00A44A87">
        <w:rPr>
          <w:rFonts w:ascii="Times New Roman" w:hAnsi="Times New Roman"/>
          <w:u w:color="0000FF"/>
          <w:lang w:val="et-EE"/>
        </w:rPr>
        <w:t>ja</w:t>
      </w:r>
      <w:r>
        <w:rPr>
          <w:rFonts w:ascii="Times New Roman" w:hAnsi="Times New Roman"/>
          <w:u w:color="0000FF"/>
          <w:lang w:val="et-EE"/>
        </w:rPr>
        <w:t>id, kes pakuvad järgmisi pensionitooteid:</w:t>
      </w:r>
    </w:p>
    <w:p w14:paraId="1D6D41B9" w14:textId="77777777" w:rsidR="0094759A" w:rsidRPr="00D32BED" w:rsidRDefault="0094759A" w:rsidP="00D32BED">
      <w:pPr>
        <w:pStyle w:val="Loendilik"/>
        <w:widowControl w:val="0"/>
        <w:numPr>
          <w:ilvl w:val="0"/>
          <w:numId w:val="13"/>
        </w:numPr>
        <w:tabs>
          <w:tab w:val="left" w:pos="1560"/>
        </w:tabs>
        <w:autoSpaceDE w:val="0"/>
        <w:autoSpaceDN w:val="0"/>
        <w:adjustRightInd w:val="0"/>
        <w:jc w:val="both"/>
        <w:rPr>
          <w:rFonts w:ascii="Times New Roman" w:hAnsi="Times New Roman"/>
          <w:sz w:val="24"/>
          <w:szCs w:val="24"/>
          <w:u w:color="0000FF"/>
        </w:rPr>
      </w:pPr>
      <w:r w:rsidRPr="00D32BED">
        <w:rPr>
          <w:rFonts w:ascii="Times New Roman" w:hAnsi="Times New Roman"/>
          <w:sz w:val="24"/>
          <w:szCs w:val="24"/>
          <w:u w:color="0000FF"/>
        </w:rPr>
        <w:t>pensionitooted, mille esmane eesmärk on siseriikliku õiguse kohaselt tagada investorile pensionipõlves sissetulek ning mis annavad investorile õiguse teatavatele hüvitistele;</w:t>
      </w:r>
    </w:p>
    <w:p w14:paraId="037F1EF7" w14:textId="77777777" w:rsidR="0094759A" w:rsidRPr="00D32BED" w:rsidRDefault="0094759A" w:rsidP="00D32BED">
      <w:pPr>
        <w:pStyle w:val="Loendilik"/>
        <w:widowControl w:val="0"/>
        <w:numPr>
          <w:ilvl w:val="0"/>
          <w:numId w:val="13"/>
        </w:numPr>
        <w:tabs>
          <w:tab w:val="left" w:pos="1560"/>
        </w:tabs>
        <w:autoSpaceDE w:val="0"/>
        <w:autoSpaceDN w:val="0"/>
        <w:adjustRightInd w:val="0"/>
        <w:jc w:val="both"/>
        <w:rPr>
          <w:rFonts w:ascii="Times New Roman" w:hAnsi="Times New Roman"/>
          <w:sz w:val="24"/>
          <w:szCs w:val="24"/>
          <w:u w:color="0000FF"/>
        </w:rPr>
      </w:pPr>
      <w:r w:rsidRPr="00D32BED">
        <w:rPr>
          <w:rFonts w:ascii="Times New Roman" w:hAnsi="Times New Roman"/>
          <w:sz w:val="24"/>
          <w:szCs w:val="24"/>
          <w:u w:color="0000FF"/>
        </w:rPr>
        <w:t xml:space="preserve">erapensionitooted, mille puhul siseriikliku õiguse kohaselt nõutakse tööandja rahalist osalust ning tööandja või töötaja ei saa pensionitoodet ega selle pakkujat valida. </w:t>
      </w:r>
    </w:p>
    <w:p w14:paraId="3ED3AB85" w14:textId="77777777" w:rsidR="0094759A" w:rsidRDefault="0094759A"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Eestis punktis (ii) nimetatud pensionitooteid ei eksisteeri, punktis (i) nimetatud </w:t>
      </w:r>
      <w:r>
        <w:rPr>
          <w:rFonts w:ascii="Times New Roman" w:hAnsi="Times New Roman"/>
          <w:u w:color="0000FF"/>
          <w:lang w:val="et-EE"/>
        </w:rPr>
        <w:lastRenderedPageBreak/>
        <w:t xml:space="preserve">pensionitoodeteks on aga kohustuslikud ja vabatahtlikud pensionifondid. </w:t>
      </w:r>
    </w:p>
    <w:p w14:paraId="5967D339" w14:textId="77777777" w:rsidR="0094759A" w:rsidRDefault="0094759A" w:rsidP="00D32BED">
      <w:pPr>
        <w:widowControl w:val="0"/>
        <w:tabs>
          <w:tab w:val="left" w:pos="1560"/>
        </w:tabs>
        <w:autoSpaceDE w:val="0"/>
        <w:autoSpaceDN w:val="0"/>
        <w:adjustRightInd w:val="0"/>
        <w:jc w:val="both"/>
        <w:rPr>
          <w:rFonts w:ascii="Times New Roman" w:hAnsi="Times New Roman"/>
          <w:u w:color="0000FF"/>
          <w:lang w:val="et-EE"/>
        </w:rPr>
      </w:pPr>
    </w:p>
    <w:p w14:paraId="7F1F1D9A" w14:textId="77777777" w:rsidR="0094759A" w:rsidRDefault="0094759A" w:rsidP="00D32BED">
      <w:pPr>
        <w:widowControl w:val="0"/>
        <w:autoSpaceDE w:val="0"/>
        <w:autoSpaceDN w:val="0"/>
        <w:adjustRightInd w:val="0"/>
        <w:jc w:val="both"/>
        <w:rPr>
          <w:rFonts w:ascii="Times New Roman" w:hAnsi="Times New Roman"/>
          <w:u w:color="0000FF"/>
          <w:lang w:val="et-EE"/>
        </w:rPr>
      </w:pPr>
      <w:r>
        <w:rPr>
          <w:rFonts w:ascii="Times New Roman" w:hAnsi="Times New Roman"/>
          <w:u w:color="0000FF"/>
          <w:lang w:val="et-EE"/>
        </w:rPr>
        <w:t>Kui üldine põhimõte on, et kõigile nimetatud finantsturu osalistele määrus kohaldub, siis teeb selle artikkel 16 näiteks erandi riikliku sotsiaalkindlustussüsteemi osaks olevatele pensioniskeemidele, täpsemalt selliste skeemide pakkujatele. Nimelt sätestab artikkel 16, et  l</w:t>
      </w:r>
      <w:r w:rsidRPr="00D14FA4">
        <w:rPr>
          <w:rFonts w:ascii="Times New Roman" w:hAnsi="Times New Roman"/>
          <w:u w:color="0000FF"/>
          <w:lang w:val="et-EE"/>
        </w:rPr>
        <w:t>iikmesriigid</w:t>
      </w:r>
      <w:r>
        <w:rPr>
          <w:rFonts w:ascii="Times New Roman" w:hAnsi="Times New Roman"/>
          <w:u w:color="0000FF"/>
          <w:lang w:val="et-EE"/>
        </w:rPr>
        <w:t xml:space="preserve"> võivad</w:t>
      </w:r>
      <w:r w:rsidRPr="00D14FA4">
        <w:rPr>
          <w:rFonts w:ascii="Times New Roman" w:hAnsi="Times New Roman"/>
          <w:u w:color="0000FF"/>
          <w:lang w:val="et-EE"/>
        </w:rPr>
        <w:t xml:space="preserve"> otsustada kohaldada määrust </w:t>
      </w:r>
      <w:r>
        <w:rPr>
          <w:rFonts w:ascii="Times New Roman" w:hAnsi="Times New Roman"/>
          <w:u w:color="0000FF"/>
          <w:lang w:val="et-EE"/>
        </w:rPr>
        <w:t xml:space="preserve">ka nende </w:t>
      </w:r>
      <w:r w:rsidRPr="00D14FA4">
        <w:rPr>
          <w:rFonts w:ascii="Times New Roman" w:hAnsi="Times New Roman"/>
          <w:u w:color="0000FF"/>
          <w:lang w:val="et-EE"/>
        </w:rPr>
        <w:t>pensionitoodete väljatöötajate suhtes, kes haldavad riiklikke sotsiaalkindlustussüsteeme, mis kuuluvad määruste (EÜ) nr 883/2004 ja (EÜ) nr 987/2009 kohaldamisalasse.</w:t>
      </w:r>
      <w:r>
        <w:rPr>
          <w:rFonts w:ascii="Times New Roman" w:hAnsi="Times New Roman"/>
          <w:u w:color="0000FF"/>
          <w:lang w:val="et-EE"/>
        </w:rPr>
        <w:t xml:space="preserve"> Eesti puhul hõlmab see kohustuslike pensionifondide valitsejaid, kelle suhtes on seega võimalik kaalutleda, kas jätta nad määruse kohaldamise alast välja või mitte. </w:t>
      </w:r>
    </w:p>
    <w:p w14:paraId="67BF8C5D" w14:textId="77777777" w:rsidR="0094759A" w:rsidRDefault="0094759A" w:rsidP="00D32BED">
      <w:pPr>
        <w:widowControl w:val="0"/>
        <w:autoSpaceDE w:val="0"/>
        <w:autoSpaceDN w:val="0"/>
        <w:adjustRightInd w:val="0"/>
        <w:jc w:val="both"/>
        <w:rPr>
          <w:rFonts w:ascii="Times New Roman" w:hAnsi="Times New Roman"/>
          <w:u w:color="0000FF"/>
          <w:lang w:val="et-EE"/>
        </w:rPr>
      </w:pPr>
    </w:p>
    <w:p w14:paraId="3A78A985" w14:textId="509D1651" w:rsidR="0094759A" w:rsidRDefault="0094759A" w:rsidP="00D32BED">
      <w:pPr>
        <w:widowControl w:val="0"/>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Arvestades, et kohustuslikud pensionifondid on suurimad investeerimisfondid Eestis ja investeeringute mahult väga olulised, ei oleks kohane ega põhjendatud kohustuslikke pensionifonde määruse kohaldamisalast välja jätta. Määruse artiklis 16 sätestatut arvestades sätestataksegi eelnõuga, et </w:t>
      </w:r>
      <w:r w:rsidRPr="00E86CAE">
        <w:rPr>
          <w:rFonts w:ascii="Times New Roman" w:hAnsi="Times New Roman"/>
          <w:u w:color="0000FF"/>
          <w:lang w:val="et-EE"/>
        </w:rPr>
        <w:t xml:space="preserve">pensionifondi valitseja on kohustatud </w:t>
      </w:r>
      <w:r>
        <w:rPr>
          <w:rFonts w:ascii="Times New Roman" w:hAnsi="Times New Roman"/>
          <w:u w:color="0000FF"/>
          <w:lang w:val="et-EE"/>
        </w:rPr>
        <w:t>kohustusliku pensioni</w:t>
      </w:r>
      <w:r w:rsidRPr="00E86CAE">
        <w:rPr>
          <w:rFonts w:ascii="Times New Roman" w:hAnsi="Times New Roman"/>
          <w:u w:color="0000FF"/>
          <w:lang w:val="et-EE"/>
        </w:rPr>
        <w:t>fondi vara investeerimise ja riskide juhtimisega seonduvalt avaldama jätkusuutlikkust käsitlevat teavet, järgides määruses 2019/2088</w:t>
      </w:r>
      <w:r>
        <w:rPr>
          <w:rFonts w:ascii="Times New Roman" w:hAnsi="Times New Roman"/>
          <w:u w:color="0000FF"/>
          <w:lang w:val="et-EE"/>
        </w:rPr>
        <w:t xml:space="preserve"> sätestatut (vt eelnõu § 2 punkti 6). See tingib omakorda määruse 2020/852 kohaldamise, mis </w:t>
      </w:r>
      <w:r w:rsidRPr="00E86CAE">
        <w:rPr>
          <w:rFonts w:ascii="Times New Roman" w:hAnsi="Times New Roman"/>
          <w:u w:color="0000FF"/>
          <w:lang w:val="et-EE"/>
        </w:rPr>
        <w:t>kehtest</w:t>
      </w:r>
      <w:r>
        <w:rPr>
          <w:rFonts w:ascii="Times New Roman" w:hAnsi="Times New Roman"/>
          <w:u w:color="0000FF"/>
          <w:lang w:val="et-EE"/>
        </w:rPr>
        <w:t>ab</w:t>
      </w:r>
      <w:r w:rsidRPr="00E86CAE">
        <w:rPr>
          <w:rFonts w:ascii="Times New Roman" w:hAnsi="Times New Roman"/>
          <w:u w:color="0000FF"/>
          <w:lang w:val="et-EE"/>
        </w:rPr>
        <w:t xml:space="preserve"> kriteeriumid, mille alusel määratakse kindlaks, kas majandustegevus liigitatakse keskkonnasäästlikuks, et teha kindlaks investeeringu keskkonnasäästlikkuse määr.</w:t>
      </w:r>
      <w:r>
        <w:rPr>
          <w:rFonts w:ascii="Times New Roman" w:hAnsi="Times New Roman"/>
          <w:u w:color="0000FF"/>
          <w:lang w:val="et-EE"/>
        </w:rPr>
        <w:t xml:space="preserve"> </w:t>
      </w:r>
    </w:p>
    <w:p w14:paraId="420C3612" w14:textId="77777777" w:rsidR="0094759A" w:rsidRDefault="0094759A" w:rsidP="00D32BED">
      <w:pPr>
        <w:widowControl w:val="0"/>
        <w:autoSpaceDE w:val="0"/>
        <w:autoSpaceDN w:val="0"/>
        <w:adjustRightInd w:val="0"/>
        <w:jc w:val="both"/>
        <w:rPr>
          <w:rFonts w:ascii="Times New Roman" w:hAnsi="Times New Roman"/>
          <w:u w:color="0000FF"/>
          <w:lang w:val="et-EE"/>
        </w:rPr>
      </w:pPr>
    </w:p>
    <w:p w14:paraId="698339D0" w14:textId="77777777" w:rsidR="0094759A" w:rsidRDefault="0094759A" w:rsidP="00D32BED">
      <w:pPr>
        <w:widowControl w:val="0"/>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Kohustuslike pensionifondide valitsejad, kes kuuluvad </w:t>
      </w:r>
      <w:r w:rsidRPr="006F3AC2">
        <w:rPr>
          <w:rFonts w:ascii="Times New Roman" w:hAnsi="Times New Roman"/>
          <w:u w:color="0000FF"/>
          <w:lang w:val="et-EE"/>
        </w:rPr>
        <w:t>määr</w:t>
      </w:r>
      <w:r>
        <w:rPr>
          <w:rFonts w:ascii="Times New Roman" w:hAnsi="Times New Roman"/>
          <w:u w:color="0000FF"/>
          <w:lang w:val="et-EE"/>
        </w:rPr>
        <w:t>u</w:t>
      </w:r>
      <w:r w:rsidRPr="006F3AC2">
        <w:rPr>
          <w:rFonts w:ascii="Times New Roman" w:hAnsi="Times New Roman"/>
          <w:u w:color="0000FF"/>
          <w:lang w:val="et-EE"/>
        </w:rPr>
        <w:t>ste (EÜ) nr 883/2004 ja (EÜ) nr 987/2009 kohaldamisalasse</w:t>
      </w:r>
      <w:r>
        <w:rPr>
          <w:rFonts w:ascii="Times New Roman" w:hAnsi="Times New Roman"/>
          <w:u w:color="0000FF"/>
          <w:lang w:val="et-EE"/>
        </w:rPr>
        <w:t>, valitsevad Eestis lisaks kohustuslikele pensionifondidele ka vabatahtlikke pensionifonde ja osa neist ka eurofonde või alternatiivfonde, mille kõigi puhul tuleb j</w:t>
      </w:r>
      <w:r w:rsidRPr="00E86CAE">
        <w:rPr>
          <w:rFonts w:ascii="Times New Roman" w:hAnsi="Times New Roman"/>
          <w:u w:color="0000FF"/>
          <w:lang w:val="et-EE"/>
        </w:rPr>
        <w:t>ätkusuutlikkust käsitlevat teavet</w:t>
      </w:r>
      <w:r>
        <w:rPr>
          <w:rFonts w:ascii="Times New Roman" w:hAnsi="Times New Roman"/>
          <w:u w:color="0000FF"/>
          <w:lang w:val="et-EE"/>
        </w:rPr>
        <w:t xml:space="preserve"> nagunii avaldada. Teada olevalt on praktikas vähemalt enamik pensionifondi valitsejaid määruses sätestatud põhimõtteid kohustuslike pensionifondide puhul juba vabatahtlikult ka rakendanud. Eelnõu väljatöötamise käigus sektorilt laekunud tagasiside kohaselt on ka eelistatud käsitlus selline, kus mõlemat liiki pensionifondidele kohaldatakse ühetaolisi nõudeid.    </w:t>
      </w:r>
    </w:p>
    <w:p w14:paraId="657EF4A9" w14:textId="77777777" w:rsidR="00775F0F" w:rsidRDefault="00775F0F" w:rsidP="00D32BED">
      <w:pPr>
        <w:jc w:val="both"/>
        <w:rPr>
          <w:rFonts w:ascii="Times New Roman" w:hAnsi="Times New Roman"/>
          <w:lang w:val="et-EE"/>
        </w:rPr>
      </w:pPr>
    </w:p>
    <w:p w14:paraId="00268F11" w14:textId="3260D1C9" w:rsidR="0040715D" w:rsidRPr="00F81215" w:rsidRDefault="006F3AC2" w:rsidP="00D32BED">
      <w:pPr>
        <w:widowControl w:val="0"/>
        <w:tabs>
          <w:tab w:val="left" w:pos="1560"/>
        </w:tabs>
        <w:autoSpaceDE w:val="0"/>
        <w:autoSpaceDN w:val="0"/>
        <w:adjustRightInd w:val="0"/>
        <w:jc w:val="both"/>
        <w:rPr>
          <w:rFonts w:ascii="Times New Roman" w:hAnsi="Times New Roman"/>
          <w:b/>
          <w:bCs/>
          <w:u w:color="0000FF"/>
          <w:lang w:val="et-EE"/>
        </w:rPr>
      </w:pPr>
      <w:r>
        <w:rPr>
          <w:rFonts w:ascii="Times New Roman" w:hAnsi="Times New Roman"/>
          <w:b/>
          <w:bCs/>
          <w:u w:color="0000FF"/>
          <w:lang w:val="et-EE"/>
        </w:rPr>
        <w:t>2.1.</w:t>
      </w:r>
      <w:r w:rsidR="00101CAD">
        <w:rPr>
          <w:rFonts w:ascii="Times New Roman" w:hAnsi="Times New Roman"/>
          <w:b/>
          <w:bCs/>
          <w:u w:color="0000FF"/>
          <w:lang w:val="et-EE"/>
        </w:rPr>
        <w:t>6</w:t>
      </w:r>
      <w:r>
        <w:rPr>
          <w:rFonts w:ascii="Times New Roman" w:hAnsi="Times New Roman"/>
          <w:b/>
          <w:bCs/>
          <w:u w:color="0000FF"/>
          <w:lang w:val="et-EE"/>
        </w:rPr>
        <w:t xml:space="preserve">. </w:t>
      </w:r>
      <w:r w:rsidR="006B5FFE">
        <w:rPr>
          <w:rFonts w:ascii="Times New Roman" w:hAnsi="Times New Roman"/>
          <w:b/>
          <w:bCs/>
          <w:u w:color="0000FF"/>
          <w:lang w:val="et-EE"/>
        </w:rPr>
        <w:t xml:space="preserve">Üleeuroopalise personaalse pensionitoote </w:t>
      </w:r>
      <w:r>
        <w:rPr>
          <w:rFonts w:ascii="Times New Roman" w:hAnsi="Times New Roman"/>
          <w:b/>
          <w:bCs/>
          <w:u w:color="0000FF"/>
          <w:lang w:val="et-EE"/>
        </w:rPr>
        <w:t>PEPP</w:t>
      </w:r>
      <w:r w:rsidR="006B5FFE">
        <w:rPr>
          <w:rFonts w:ascii="Times New Roman" w:hAnsi="Times New Roman"/>
          <w:b/>
          <w:bCs/>
          <w:u w:color="0000FF"/>
          <w:lang w:val="et-EE"/>
        </w:rPr>
        <w:t>i pakkumise suhtes kehtivate nõuete rikkumise tagajärjeks olevad väärteo</w:t>
      </w:r>
      <w:r>
        <w:rPr>
          <w:rFonts w:ascii="Times New Roman" w:hAnsi="Times New Roman"/>
          <w:b/>
          <w:bCs/>
          <w:u w:color="0000FF"/>
          <w:lang w:val="et-EE"/>
        </w:rPr>
        <w:t>karistused</w:t>
      </w:r>
    </w:p>
    <w:p w14:paraId="347B0F43" w14:textId="4CEF159B" w:rsidR="00BE317B" w:rsidRDefault="00166EF2"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PEPPi määruse</w:t>
      </w:r>
      <w:r w:rsidR="006B5FFE">
        <w:rPr>
          <w:rFonts w:ascii="Times New Roman" w:hAnsi="Times New Roman"/>
          <w:u w:color="0000FF"/>
          <w:lang w:val="et-EE"/>
        </w:rPr>
        <w:t xml:space="preserve"> rakendamiseks vajalikud seadusemuudatused jõustusid 2023. aasta 27. märtsil. Muu hulgas lisati erinevatesse finantssektori seadustesse siis ka väärteokaristuste normid määruses kehtestatud nõuete rikkumise puhuks. Viidatud seadusemuudatustega samal ajal oli menetluses a</w:t>
      </w:r>
      <w:r w:rsidR="006B5FFE" w:rsidRPr="006F3AC2">
        <w:rPr>
          <w:rFonts w:ascii="Times New Roman" w:hAnsi="Times New Roman"/>
          <w:u w:color="0000FF"/>
          <w:lang w:val="et-EE"/>
        </w:rPr>
        <w:t>udiitortegevuse seaduse, finantskriisi ennetamise ja lahendamise seaduse ning teiste seaduste muutmise seadus</w:t>
      </w:r>
      <w:r w:rsidR="006B5FFE">
        <w:rPr>
          <w:rFonts w:ascii="Times New Roman" w:hAnsi="Times New Roman"/>
          <w:u w:color="0000FF"/>
          <w:lang w:val="et-EE"/>
        </w:rPr>
        <w:t>e eelnõu</w:t>
      </w:r>
      <w:r w:rsidR="006B5FFE" w:rsidRPr="006F3AC2">
        <w:rPr>
          <w:rFonts w:ascii="Times New Roman" w:hAnsi="Times New Roman"/>
          <w:u w:color="0000FF"/>
          <w:lang w:val="et-EE"/>
        </w:rPr>
        <w:t xml:space="preserve"> (finantsvaldkonna väärteokaristuste reform, EL-i õigusest tulenevad karistused)</w:t>
      </w:r>
      <w:r w:rsidR="006B5FFE">
        <w:rPr>
          <w:rFonts w:ascii="Times New Roman" w:hAnsi="Times New Roman"/>
          <w:u w:color="0000FF"/>
          <w:lang w:val="et-EE"/>
        </w:rPr>
        <w:t xml:space="preserve">, jõustumisega 2023. aasta 1. novembril. Selle seadusega tõsteti finantssektori väärteokaristuste määrasid, tõstmata jäid aga üleeuroopalise personaalse pensionitoote PEPP-ga seonduvad väärteokaristuste määrad. Vastavad </w:t>
      </w:r>
      <w:r w:rsidR="003C6CDB">
        <w:rPr>
          <w:rFonts w:ascii="Times New Roman" w:hAnsi="Times New Roman"/>
          <w:u w:color="0000FF"/>
          <w:lang w:val="et-EE"/>
        </w:rPr>
        <w:t>parandused</w:t>
      </w:r>
      <w:r w:rsidR="006B5FFE">
        <w:rPr>
          <w:rFonts w:ascii="Times New Roman" w:hAnsi="Times New Roman"/>
          <w:u w:color="0000FF"/>
          <w:lang w:val="et-EE"/>
        </w:rPr>
        <w:t xml:space="preserve"> tehakse IFS</w:t>
      </w:r>
      <w:r w:rsidR="003C6CDB">
        <w:rPr>
          <w:rFonts w:ascii="Times New Roman" w:hAnsi="Times New Roman"/>
          <w:u w:color="0000FF"/>
          <w:lang w:val="et-EE"/>
        </w:rPr>
        <w:t xml:space="preserve"> §-s 503</w:t>
      </w:r>
      <w:r w:rsidR="003C6CDB">
        <w:rPr>
          <w:rFonts w:ascii="Times New Roman" w:hAnsi="Times New Roman"/>
          <w:u w:color="0000FF"/>
          <w:vertAlign w:val="superscript"/>
          <w:lang w:val="et-EE"/>
        </w:rPr>
        <w:t>3</w:t>
      </w:r>
      <w:r w:rsidR="003C6CDB">
        <w:rPr>
          <w:rFonts w:ascii="Times New Roman" w:hAnsi="Times New Roman"/>
          <w:u w:color="0000FF"/>
          <w:lang w:val="et-EE"/>
        </w:rPr>
        <w:t>, KindlTS §-des 263</w:t>
      </w:r>
      <w:r w:rsidR="003C6CDB">
        <w:rPr>
          <w:rFonts w:ascii="Times New Roman" w:hAnsi="Times New Roman"/>
          <w:u w:color="0000FF"/>
          <w:vertAlign w:val="superscript"/>
          <w:lang w:val="et-EE"/>
        </w:rPr>
        <w:t>2</w:t>
      </w:r>
      <w:r w:rsidR="003C6CDB">
        <w:rPr>
          <w:rFonts w:ascii="Times New Roman" w:hAnsi="Times New Roman"/>
          <w:u w:color="0000FF"/>
          <w:lang w:val="et-EE"/>
        </w:rPr>
        <w:t xml:space="preserve"> ja 263</w:t>
      </w:r>
      <w:r w:rsidR="003C6CDB">
        <w:rPr>
          <w:rFonts w:ascii="Times New Roman" w:hAnsi="Times New Roman"/>
          <w:u w:color="0000FF"/>
          <w:vertAlign w:val="superscript"/>
          <w:lang w:val="et-EE"/>
        </w:rPr>
        <w:t>3</w:t>
      </w:r>
      <w:r w:rsidR="003C6CDB">
        <w:rPr>
          <w:rFonts w:ascii="Times New Roman" w:hAnsi="Times New Roman"/>
          <w:u w:color="0000FF"/>
          <w:lang w:val="et-EE"/>
        </w:rPr>
        <w:t>, KAS §-s 134</w:t>
      </w:r>
      <w:r w:rsidR="003C6CDB">
        <w:rPr>
          <w:rFonts w:ascii="Times New Roman" w:hAnsi="Times New Roman"/>
          <w:u w:color="0000FF"/>
          <w:vertAlign w:val="superscript"/>
          <w:lang w:val="et-EE"/>
        </w:rPr>
        <w:t xml:space="preserve">20 </w:t>
      </w:r>
      <w:r w:rsidR="003C6CDB">
        <w:rPr>
          <w:rFonts w:ascii="Times New Roman" w:hAnsi="Times New Roman"/>
          <w:u w:color="0000FF"/>
          <w:lang w:val="et-EE"/>
        </w:rPr>
        <w:t>ja VpTS §-s 237</w:t>
      </w:r>
      <w:r w:rsidR="003C6CDB">
        <w:rPr>
          <w:rFonts w:ascii="Times New Roman" w:hAnsi="Times New Roman"/>
          <w:u w:color="0000FF"/>
          <w:vertAlign w:val="superscript"/>
          <w:lang w:val="et-EE"/>
        </w:rPr>
        <w:t>88</w:t>
      </w:r>
      <w:r w:rsidR="006B5FFE">
        <w:rPr>
          <w:rFonts w:ascii="Times New Roman" w:hAnsi="Times New Roman"/>
          <w:u w:color="0000FF"/>
          <w:lang w:val="et-EE"/>
        </w:rPr>
        <w:t xml:space="preserve"> ära käesoleva eelnõuga.</w:t>
      </w:r>
    </w:p>
    <w:p w14:paraId="343E6817" w14:textId="77777777" w:rsidR="00BE317B" w:rsidRPr="00333782" w:rsidRDefault="00BE317B" w:rsidP="00D32BED">
      <w:pPr>
        <w:widowControl w:val="0"/>
        <w:tabs>
          <w:tab w:val="left" w:pos="1560"/>
        </w:tabs>
        <w:autoSpaceDE w:val="0"/>
        <w:autoSpaceDN w:val="0"/>
        <w:adjustRightInd w:val="0"/>
        <w:jc w:val="both"/>
        <w:rPr>
          <w:rFonts w:ascii="Times New Roman" w:hAnsi="Times New Roman"/>
          <w:u w:color="0000FF"/>
          <w:lang w:val="et-EE"/>
        </w:rPr>
      </w:pPr>
    </w:p>
    <w:p w14:paraId="4ABBB704" w14:textId="0B1CBD65" w:rsidR="00BE317B" w:rsidRDefault="00BE317B" w:rsidP="00D32BED">
      <w:pPr>
        <w:widowControl w:val="0"/>
        <w:tabs>
          <w:tab w:val="left" w:pos="1560"/>
        </w:tabs>
        <w:autoSpaceDE w:val="0"/>
        <w:autoSpaceDN w:val="0"/>
        <w:adjustRightInd w:val="0"/>
        <w:jc w:val="both"/>
        <w:rPr>
          <w:rFonts w:ascii="Times New Roman" w:hAnsi="Times New Roman"/>
          <w:u w:color="0000FF"/>
          <w:lang w:val="et-EE"/>
        </w:rPr>
      </w:pPr>
      <w:r w:rsidRPr="0058218B">
        <w:rPr>
          <w:rFonts w:ascii="Times New Roman" w:hAnsi="Times New Roman"/>
          <w:u w:color="0000FF"/>
          <w:lang w:val="et-EE"/>
        </w:rPr>
        <w:t>ELi õigusest tulenevaid kohustusi kohaldada teatud rikkumiste korral kõrgema määraga rahalisi sanktsioone (sh haldustrahve)</w:t>
      </w:r>
      <w:r>
        <w:rPr>
          <w:rFonts w:ascii="Times New Roman" w:hAnsi="Times New Roman"/>
          <w:u w:color="0000FF"/>
          <w:lang w:val="et-EE"/>
        </w:rPr>
        <w:t xml:space="preserve"> on</w:t>
      </w:r>
      <w:r w:rsidRPr="0058218B">
        <w:rPr>
          <w:rFonts w:ascii="Times New Roman" w:hAnsi="Times New Roman"/>
          <w:u w:color="0000FF"/>
          <w:lang w:val="et-EE"/>
        </w:rPr>
        <w:t xml:space="preserve"> Eesti õiguses</w:t>
      </w:r>
      <w:r>
        <w:rPr>
          <w:rFonts w:ascii="Times New Roman" w:hAnsi="Times New Roman"/>
          <w:u w:color="0000FF"/>
          <w:lang w:val="et-EE"/>
        </w:rPr>
        <w:t xml:space="preserve"> käsitletud</w:t>
      </w:r>
      <w:r w:rsidRPr="0058218B">
        <w:rPr>
          <w:rFonts w:ascii="Times New Roman" w:hAnsi="Times New Roman"/>
          <w:u w:color="0000FF"/>
          <w:lang w:val="et-EE"/>
        </w:rPr>
        <w:t xml:space="preserve"> läbi sunniraha instituudi. Sunniraha rakendatakse ettekirjutuse täitmisele sundimiseks, kui ettekirjutust ei ole hoiatuses toodud tähtajaks täidetud. Ettekirjutused on suunatud tulevikku, et ei rikutaks kehtivaid nõudeid ja seega on neil ka ennetav mõju. Haldussunni meetme</w:t>
      </w:r>
      <w:r>
        <w:rPr>
          <w:rFonts w:ascii="Times New Roman" w:hAnsi="Times New Roman"/>
          <w:u w:color="0000FF"/>
          <w:lang w:val="et-EE"/>
        </w:rPr>
        <w:t>i</w:t>
      </w:r>
      <w:r w:rsidRPr="0058218B">
        <w:rPr>
          <w:rFonts w:ascii="Times New Roman" w:hAnsi="Times New Roman"/>
          <w:u w:color="0000FF"/>
          <w:lang w:val="et-EE"/>
        </w:rPr>
        <w:t>d, sh sunniraha ei sobi rakendada olukorras, kus rikkumist ei ole võimalik ennetada ega kõrvaldada. Seetõttu</w:t>
      </w:r>
      <w:r>
        <w:rPr>
          <w:rFonts w:ascii="Times New Roman" w:hAnsi="Times New Roman"/>
          <w:u w:color="0000FF"/>
          <w:lang w:val="et-EE"/>
        </w:rPr>
        <w:t xml:space="preserve"> näevad finantssektori õigusaktid Finantsinspektsioonile ette ka võimaluse väärteomenetluses r</w:t>
      </w:r>
      <w:r w:rsidRPr="009B7324">
        <w:rPr>
          <w:rFonts w:ascii="Times New Roman" w:hAnsi="Times New Roman"/>
          <w:u w:color="0000FF"/>
          <w:lang w:val="et-EE"/>
        </w:rPr>
        <w:t>ahatrahv</w:t>
      </w:r>
      <w:r>
        <w:rPr>
          <w:rFonts w:ascii="Times New Roman" w:hAnsi="Times New Roman"/>
          <w:u w:color="0000FF"/>
          <w:lang w:val="et-EE"/>
        </w:rPr>
        <w:t>i määramiseks (</w:t>
      </w:r>
      <w:r w:rsidRPr="009B7324">
        <w:rPr>
          <w:rFonts w:ascii="Times New Roman" w:hAnsi="Times New Roman"/>
          <w:u w:color="0000FF"/>
          <w:lang w:val="et-EE"/>
        </w:rPr>
        <w:t>karistusõiguslik meede</w:t>
      </w:r>
      <w:r>
        <w:rPr>
          <w:rFonts w:ascii="Times New Roman" w:hAnsi="Times New Roman"/>
          <w:u w:color="0000FF"/>
          <w:lang w:val="et-EE"/>
        </w:rPr>
        <w:t>).</w:t>
      </w:r>
      <w:r w:rsidRPr="009B7324">
        <w:rPr>
          <w:rFonts w:ascii="Times New Roman" w:hAnsi="Times New Roman"/>
          <w:u w:color="0000FF"/>
          <w:lang w:val="et-EE"/>
        </w:rPr>
        <w:t xml:space="preserve"> </w:t>
      </w:r>
      <w:r>
        <w:rPr>
          <w:rFonts w:ascii="Times New Roman" w:hAnsi="Times New Roman"/>
          <w:u w:color="0000FF"/>
          <w:lang w:val="et-EE"/>
        </w:rPr>
        <w:t xml:space="preserve">Lisaks rikkumise toime pannud isiku karistamisele on neil </w:t>
      </w:r>
      <w:r w:rsidRPr="009B7324">
        <w:rPr>
          <w:rFonts w:ascii="Times New Roman" w:hAnsi="Times New Roman"/>
          <w:u w:color="0000FF"/>
          <w:lang w:val="et-EE"/>
        </w:rPr>
        <w:t>väärteomenetluses määratud rahatrahvidel ka nn üldpreventiivne mõju</w:t>
      </w:r>
      <w:r>
        <w:rPr>
          <w:rFonts w:ascii="Times New Roman" w:hAnsi="Times New Roman"/>
          <w:u w:color="0000FF"/>
          <w:lang w:val="et-EE"/>
        </w:rPr>
        <w:t xml:space="preserve"> – eesmärk hoida ära rikkumisi tulevikus</w:t>
      </w:r>
      <w:r w:rsidRPr="009B7324">
        <w:rPr>
          <w:rFonts w:ascii="Times New Roman" w:hAnsi="Times New Roman"/>
          <w:u w:color="0000FF"/>
          <w:lang w:val="et-EE"/>
        </w:rPr>
        <w:t>.</w:t>
      </w:r>
    </w:p>
    <w:p w14:paraId="4BECEDE7" w14:textId="44033958" w:rsidR="00BE317B" w:rsidRPr="007A219E" w:rsidRDefault="00BE317B" w:rsidP="00D32BED">
      <w:pPr>
        <w:widowControl w:val="0"/>
        <w:tabs>
          <w:tab w:val="left" w:pos="1560"/>
        </w:tabs>
        <w:autoSpaceDE w:val="0"/>
        <w:autoSpaceDN w:val="0"/>
        <w:adjustRightInd w:val="0"/>
        <w:jc w:val="both"/>
        <w:rPr>
          <w:rFonts w:ascii="Times New Roman" w:hAnsi="Times New Roman"/>
          <w:u w:color="0000FF"/>
          <w:lang w:val="et-EE"/>
        </w:rPr>
      </w:pPr>
      <w:r w:rsidRPr="009B7324">
        <w:rPr>
          <w:rFonts w:ascii="Times New Roman" w:hAnsi="Times New Roman"/>
          <w:u w:color="0000FF"/>
          <w:lang w:val="et-EE"/>
        </w:rPr>
        <w:lastRenderedPageBreak/>
        <w:t xml:space="preserve"> </w:t>
      </w:r>
    </w:p>
    <w:p w14:paraId="5B6F94F4" w14:textId="77777777" w:rsidR="00BE317B" w:rsidRPr="009B7324" w:rsidRDefault="00BE317B" w:rsidP="00D32BED">
      <w:pPr>
        <w:jc w:val="both"/>
        <w:rPr>
          <w:rFonts w:ascii="Times New Roman" w:hAnsi="Times New Roman"/>
          <w:lang w:val="et-EE"/>
        </w:rPr>
      </w:pPr>
      <w:r w:rsidRPr="009B7324">
        <w:rPr>
          <w:rFonts w:ascii="Times New Roman" w:hAnsi="Times New Roman"/>
          <w:lang w:val="et-EE"/>
        </w:rPr>
        <w:t xml:space="preserve">PEPPi määruse artikli 67 punkt 2 näeb ette, et liikmesriigid tagavad, et nende õigus- ja haldusnormidega on ette nähtud karistused ja muud haldusmeetmed vähemalt järgmisteks juhtudeks: </w:t>
      </w:r>
    </w:p>
    <w:p w14:paraId="62B22CE8" w14:textId="77777777" w:rsidR="00BE317B" w:rsidRPr="00D32BED" w:rsidRDefault="00BE317B" w:rsidP="00D32BED">
      <w:pPr>
        <w:pStyle w:val="Loendilik"/>
        <w:numPr>
          <w:ilvl w:val="0"/>
          <w:numId w:val="16"/>
        </w:numPr>
        <w:jc w:val="both"/>
        <w:rPr>
          <w:rFonts w:ascii="Times New Roman" w:hAnsi="Times New Roman"/>
          <w:sz w:val="24"/>
          <w:szCs w:val="24"/>
        </w:rPr>
      </w:pPr>
      <w:r w:rsidRPr="00D32BED">
        <w:rPr>
          <w:rFonts w:ascii="Times New Roman" w:hAnsi="Times New Roman"/>
          <w:sz w:val="24"/>
          <w:szCs w:val="24"/>
        </w:rPr>
        <w:t>artikli 6 lõikes 1 osutatud finantsettevõtja on saavutanud PEPPi registreerimise vale- või eksitavaid andmeid esitades või mõnel muul ebaausal viisil artikleid 6 ja 7 rikkudes;</w:t>
      </w:r>
    </w:p>
    <w:p w14:paraId="68719912" w14:textId="77777777" w:rsidR="00BE317B" w:rsidRPr="00D32BED" w:rsidRDefault="00BE317B" w:rsidP="00D32BED">
      <w:pPr>
        <w:pStyle w:val="Loendilik"/>
        <w:numPr>
          <w:ilvl w:val="0"/>
          <w:numId w:val="16"/>
        </w:numPr>
        <w:jc w:val="both"/>
        <w:rPr>
          <w:rFonts w:ascii="Times New Roman" w:hAnsi="Times New Roman"/>
          <w:sz w:val="24"/>
          <w:szCs w:val="24"/>
        </w:rPr>
      </w:pPr>
      <w:r w:rsidRPr="00D32BED">
        <w:rPr>
          <w:rFonts w:ascii="Times New Roman" w:hAnsi="Times New Roman"/>
          <w:sz w:val="24"/>
          <w:szCs w:val="24"/>
        </w:rPr>
        <w:t>artikli 6 lõikes 1 osutatud finantsettevõtja pakub või levitab tooteid nimetuste „üleeuroopaline personaalne pensionitoode“ või „PEPP“ all, kuigi nimetatud tooted on nõuetekohaselt registreerimata;</w:t>
      </w:r>
    </w:p>
    <w:p w14:paraId="690A2ABE" w14:textId="77777777" w:rsidR="00BE317B" w:rsidRPr="00D32BED" w:rsidRDefault="00BE317B" w:rsidP="00D32BED">
      <w:pPr>
        <w:pStyle w:val="Loendilik"/>
        <w:numPr>
          <w:ilvl w:val="0"/>
          <w:numId w:val="16"/>
        </w:numPr>
        <w:jc w:val="both"/>
        <w:rPr>
          <w:rFonts w:ascii="Times New Roman" w:hAnsi="Times New Roman"/>
          <w:sz w:val="24"/>
          <w:szCs w:val="24"/>
        </w:rPr>
      </w:pPr>
      <w:r w:rsidRPr="00D32BED">
        <w:rPr>
          <w:rFonts w:ascii="Times New Roman" w:hAnsi="Times New Roman"/>
          <w:sz w:val="24"/>
          <w:szCs w:val="24"/>
        </w:rPr>
        <w:t>PEPPi pakkuja ei ole artiklit 18 või 19 rikkudes võimaldanud kaasaskantavuse teenust või esitanud artiklite 20 ja 21 kohaselt nõutud teavet selle teenuse kohta või ei ole täitnud IV ja V peatükis, artiklites 48 ja 50 ning VII peatükis sätestatud nõudeid ja kohustusi;</w:t>
      </w:r>
    </w:p>
    <w:p w14:paraId="4616A7BF" w14:textId="77777777" w:rsidR="00BE317B" w:rsidRPr="00D32BED" w:rsidRDefault="00BE317B" w:rsidP="00D32BED">
      <w:pPr>
        <w:pStyle w:val="Loendilik"/>
        <w:numPr>
          <w:ilvl w:val="0"/>
          <w:numId w:val="16"/>
        </w:numPr>
        <w:jc w:val="both"/>
        <w:rPr>
          <w:rFonts w:ascii="Times New Roman" w:hAnsi="Times New Roman"/>
          <w:sz w:val="24"/>
          <w:szCs w:val="24"/>
        </w:rPr>
      </w:pPr>
      <w:r w:rsidRPr="00D32BED">
        <w:rPr>
          <w:rFonts w:ascii="Times New Roman" w:hAnsi="Times New Roman"/>
          <w:sz w:val="24"/>
          <w:szCs w:val="24"/>
        </w:rPr>
        <w:t>depositoorium ei ole täitnud talle artiklist 48 tulenevaid kontrollikohustusi.</w:t>
      </w:r>
    </w:p>
    <w:p w14:paraId="7F385C7A" w14:textId="02864420" w:rsidR="006B5FFE" w:rsidRDefault="00BE317B"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PEPPi määruse vastavad normid on Eesti õigusesse üle võetud ülal viidatud </w:t>
      </w:r>
      <w:r w:rsidRPr="00BE317B">
        <w:rPr>
          <w:rFonts w:ascii="Times New Roman" w:hAnsi="Times New Roman"/>
          <w:u w:color="0000FF"/>
          <w:lang w:val="et-EE"/>
        </w:rPr>
        <w:t>IFS §-</w:t>
      </w:r>
      <w:r>
        <w:rPr>
          <w:rFonts w:ascii="Times New Roman" w:hAnsi="Times New Roman"/>
          <w:u w:color="0000FF"/>
          <w:lang w:val="et-EE"/>
        </w:rPr>
        <w:t>ga</w:t>
      </w:r>
      <w:r w:rsidRPr="00BE317B">
        <w:rPr>
          <w:rFonts w:ascii="Times New Roman" w:hAnsi="Times New Roman"/>
          <w:u w:color="0000FF"/>
          <w:lang w:val="et-EE"/>
        </w:rPr>
        <w:t xml:space="preserve"> 503</w:t>
      </w:r>
      <w:r w:rsidRPr="00BE317B">
        <w:rPr>
          <w:rFonts w:ascii="Times New Roman" w:hAnsi="Times New Roman"/>
          <w:u w:color="0000FF"/>
          <w:vertAlign w:val="superscript"/>
          <w:lang w:val="et-EE"/>
        </w:rPr>
        <w:t>3</w:t>
      </w:r>
      <w:r w:rsidRPr="00BE317B">
        <w:rPr>
          <w:rFonts w:ascii="Times New Roman" w:hAnsi="Times New Roman"/>
          <w:u w:color="0000FF"/>
          <w:lang w:val="et-EE"/>
        </w:rPr>
        <w:t>, KindlTS §-de</w:t>
      </w:r>
      <w:r>
        <w:rPr>
          <w:rFonts w:ascii="Times New Roman" w:hAnsi="Times New Roman"/>
          <w:u w:color="0000FF"/>
          <w:lang w:val="et-EE"/>
        </w:rPr>
        <w:t>ga</w:t>
      </w:r>
      <w:r w:rsidRPr="00BE317B">
        <w:rPr>
          <w:rFonts w:ascii="Times New Roman" w:hAnsi="Times New Roman"/>
          <w:u w:color="0000FF"/>
          <w:lang w:val="et-EE"/>
        </w:rPr>
        <w:t xml:space="preserve"> 263</w:t>
      </w:r>
      <w:r w:rsidRPr="00BE317B">
        <w:rPr>
          <w:rFonts w:ascii="Times New Roman" w:hAnsi="Times New Roman"/>
          <w:u w:color="0000FF"/>
          <w:vertAlign w:val="superscript"/>
          <w:lang w:val="et-EE"/>
        </w:rPr>
        <w:t>2</w:t>
      </w:r>
      <w:r w:rsidRPr="00BE317B">
        <w:rPr>
          <w:rFonts w:ascii="Times New Roman" w:hAnsi="Times New Roman"/>
          <w:u w:color="0000FF"/>
          <w:lang w:val="et-EE"/>
        </w:rPr>
        <w:t xml:space="preserve"> ja 263</w:t>
      </w:r>
      <w:r w:rsidRPr="00BE317B">
        <w:rPr>
          <w:rFonts w:ascii="Times New Roman" w:hAnsi="Times New Roman"/>
          <w:u w:color="0000FF"/>
          <w:vertAlign w:val="superscript"/>
          <w:lang w:val="et-EE"/>
        </w:rPr>
        <w:t>3</w:t>
      </w:r>
      <w:r w:rsidRPr="00BE317B">
        <w:rPr>
          <w:rFonts w:ascii="Times New Roman" w:hAnsi="Times New Roman"/>
          <w:u w:color="0000FF"/>
          <w:lang w:val="et-EE"/>
        </w:rPr>
        <w:t>, KAS §-</w:t>
      </w:r>
      <w:r>
        <w:rPr>
          <w:rFonts w:ascii="Times New Roman" w:hAnsi="Times New Roman"/>
          <w:u w:color="0000FF"/>
          <w:lang w:val="et-EE"/>
        </w:rPr>
        <w:t>ga</w:t>
      </w:r>
      <w:r w:rsidRPr="00BE317B">
        <w:rPr>
          <w:rFonts w:ascii="Times New Roman" w:hAnsi="Times New Roman"/>
          <w:u w:color="0000FF"/>
          <w:lang w:val="et-EE"/>
        </w:rPr>
        <w:t xml:space="preserve"> 134</w:t>
      </w:r>
      <w:r w:rsidRPr="00BE317B">
        <w:rPr>
          <w:rFonts w:ascii="Times New Roman" w:hAnsi="Times New Roman"/>
          <w:u w:color="0000FF"/>
          <w:vertAlign w:val="superscript"/>
          <w:lang w:val="et-EE"/>
        </w:rPr>
        <w:t>20</w:t>
      </w:r>
      <w:r w:rsidRPr="00BE317B">
        <w:rPr>
          <w:rFonts w:ascii="Times New Roman" w:hAnsi="Times New Roman"/>
          <w:u w:color="0000FF"/>
          <w:lang w:val="et-EE"/>
        </w:rPr>
        <w:t xml:space="preserve"> ja VpTS §-</w:t>
      </w:r>
      <w:r>
        <w:rPr>
          <w:rFonts w:ascii="Times New Roman" w:hAnsi="Times New Roman"/>
          <w:u w:color="0000FF"/>
          <w:lang w:val="et-EE"/>
        </w:rPr>
        <w:t>ga</w:t>
      </w:r>
      <w:r w:rsidRPr="00BE317B">
        <w:rPr>
          <w:rFonts w:ascii="Times New Roman" w:hAnsi="Times New Roman"/>
          <w:u w:color="0000FF"/>
          <w:lang w:val="et-EE"/>
        </w:rPr>
        <w:t xml:space="preserve"> 237</w:t>
      </w:r>
      <w:r w:rsidRPr="00BE317B">
        <w:rPr>
          <w:rFonts w:ascii="Times New Roman" w:hAnsi="Times New Roman"/>
          <w:u w:color="0000FF"/>
          <w:vertAlign w:val="superscript"/>
          <w:lang w:val="et-EE"/>
        </w:rPr>
        <w:t>8</w:t>
      </w:r>
      <w:r>
        <w:rPr>
          <w:rFonts w:ascii="Times New Roman" w:hAnsi="Times New Roman"/>
          <w:u w:color="0000FF"/>
          <w:vertAlign w:val="superscript"/>
          <w:lang w:val="et-EE"/>
        </w:rPr>
        <w:t>8</w:t>
      </w:r>
      <w:r>
        <w:rPr>
          <w:rFonts w:ascii="Times New Roman" w:hAnsi="Times New Roman"/>
          <w:u w:color="0000FF"/>
          <w:lang w:val="et-EE"/>
        </w:rPr>
        <w:t>.</w:t>
      </w:r>
    </w:p>
    <w:p w14:paraId="11A03B77" w14:textId="77777777" w:rsidR="008A0094" w:rsidRDefault="008A0094" w:rsidP="00D32BED">
      <w:pPr>
        <w:widowControl w:val="0"/>
        <w:tabs>
          <w:tab w:val="left" w:pos="1560"/>
        </w:tabs>
        <w:autoSpaceDE w:val="0"/>
        <w:autoSpaceDN w:val="0"/>
        <w:adjustRightInd w:val="0"/>
        <w:jc w:val="both"/>
        <w:rPr>
          <w:rFonts w:ascii="Times New Roman" w:hAnsi="Times New Roman"/>
          <w:u w:color="0000FF"/>
          <w:lang w:val="et-EE"/>
        </w:rPr>
      </w:pPr>
    </w:p>
    <w:p w14:paraId="783C68D4" w14:textId="341EA05A" w:rsidR="008A0094" w:rsidRPr="00BE317B" w:rsidRDefault="008A0094"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Eelnõu koostamise käigus vaadati üle ka </w:t>
      </w:r>
      <w:r w:rsidRPr="008A0094">
        <w:rPr>
          <w:rFonts w:ascii="Times New Roman" w:hAnsi="Times New Roman"/>
          <w:u w:color="0000FF"/>
          <w:lang w:val="et-EE"/>
        </w:rPr>
        <w:t>PEPPi määruses ettenähtud rikkumiste koosseisud</w:t>
      </w:r>
      <w:r>
        <w:rPr>
          <w:rFonts w:ascii="Times New Roman" w:hAnsi="Times New Roman"/>
          <w:u w:color="0000FF"/>
          <w:lang w:val="et-EE"/>
        </w:rPr>
        <w:t xml:space="preserve">. </w:t>
      </w:r>
      <w:r w:rsidRPr="008A0094">
        <w:rPr>
          <w:rFonts w:ascii="Times New Roman" w:hAnsi="Times New Roman"/>
          <w:u w:color="0000FF"/>
          <w:lang w:val="et-EE"/>
        </w:rPr>
        <w:t>Vastavalt PEPPi määruse artikkel 67 punktidele 3 d) ja f) peavad kõigi koosseisude puhul olema kehtestatud maksimaalsete karistusmääradena 700 000 eurot füüsilisele isikule ja 5 miljonit eurot juriidilisele isikule (arvestades lisa</w:t>
      </w:r>
      <w:r w:rsidR="00E422FC">
        <w:rPr>
          <w:rFonts w:ascii="Times New Roman" w:hAnsi="Times New Roman"/>
          <w:u w:color="0000FF"/>
          <w:lang w:val="et-EE"/>
        </w:rPr>
        <w:t>k</w:t>
      </w:r>
      <w:r w:rsidRPr="008A0094">
        <w:rPr>
          <w:rFonts w:ascii="Times New Roman" w:hAnsi="Times New Roman"/>
          <w:u w:color="0000FF"/>
          <w:lang w:val="et-EE"/>
        </w:rPr>
        <w:t xml:space="preserve">s ka punktides e) ja g) </w:t>
      </w:r>
      <w:r w:rsidR="00E422FC">
        <w:rPr>
          <w:rFonts w:ascii="Times New Roman" w:hAnsi="Times New Roman"/>
          <w:u w:color="0000FF"/>
          <w:lang w:val="et-EE"/>
        </w:rPr>
        <w:t>sätestatut</w:t>
      </w:r>
      <w:r w:rsidRPr="008A0094">
        <w:rPr>
          <w:rFonts w:ascii="Times New Roman" w:hAnsi="Times New Roman"/>
          <w:u w:color="0000FF"/>
          <w:lang w:val="et-EE"/>
        </w:rPr>
        <w:t>).</w:t>
      </w:r>
      <w:r w:rsidR="00E422FC">
        <w:rPr>
          <w:rFonts w:ascii="Times New Roman" w:hAnsi="Times New Roman"/>
          <w:u w:color="0000FF"/>
          <w:lang w:val="et-EE"/>
        </w:rPr>
        <w:t xml:space="preserve"> Seega ei võimalda </w:t>
      </w:r>
      <w:r w:rsidRPr="008A0094">
        <w:rPr>
          <w:rFonts w:ascii="Times New Roman" w:hAnsi="Times New Roman"/>
          <w:u w:color="0000FF"/>
          <w:lang w:val="et-EE"/>
        </w:rPr>
        <w:t>PEPPi määrus kõnealuste rikkumiste puhul madalamaid karistusmäärasid kehtestada. Konkreetsete juhtumite puhul karistuste määramisel tuleb Finantsinspektsioonil lähtuda PEPPi määruse artiklist 68, mis muu hulgas näeb ette karistuse määramisel ka rikkumise olulisuse, raskuse ja kestusega arvestamise.</w:t>
      </w:r>
    </w:p>
    <w:p w14:paraId="3866F97C" w14:textId="581D0458" w:rsidR="00F81215" w:rsidRDefault="00F81215" w:rsidP="00D32BED">
      <w:pPr>
        <w:widowControl w:val="0"/>
        <w:tabs>
          <w:tab w:val="left" w:pos="1560"/>
        </w:tabs>
        <w:autoSpaceDE w:val="0"/>
        <w:autoSpaceDN w:val="0"/>
        <w:adjustRightInd w:val="0"/>
        <w:jc w:val="both"/>
        <w:rPr>
          <w:rFonts w:ascii="Times New Roman" w:hAnsi="Times New Roman"/>
          <w:u w:color="0000FF"/>
          <w:lang w:val="et-EE"/>
        </w:rPr>
      </w:pPr>
    </w:p>
    <w:p w14:paraId="6EF2634F" w14:textId="779A2A18" w:rsidR="00635669" w:rsidRPr="003E406B" w:rsidRDefault="003E406B" w:rsidP="00D32BED">
      <w:pPr>
        <w:jc w:val="both"/>
        <w:rPr>
          <w:rFonts w:ascii="Times New Roman" w:hAnsi="Times New Roman"/>
          <w:b/>
          <w:bCs/>
          <w:u w:color="0000FF"/>
          <w:lang w:val="et-EE"/>
        </w:rPr>
      </w:pPr>
      <w:r w:rsidRPr="003E406B">
        <w:rPr>
          <w:rFonts w:ascii="Times New Roman" w:hAnsi="Times New Roman"/>
          <w:b/>
          <w:bCs/>
          <w:u w:color="0000FF"/>
          <w:lang w:val="et-EE"/>
        </w:rPr>
        <w:t>2.3. Eelnõu väljatöötamiskavatsus</w:t>
      </w:r>
    </w:p>
    <w:p w14:paraId="48C88985" w14:textId="6D5A2BCC" w:rsidR="006F3AC2" w:rsidRDefault="00A74A3E" w:rsidP="00D32BED">
      <w:pPr>
        <w:jc w:val="both"/>
        <w:rPr>
          <w:rFonts w:ascii="Times New Roman" w:hAnsi="Times New Roman"/>
          <w:u w:color="0000FF"/>
          <w:lang w:val="et-EE"/>
        </w:rPr>
      </w:pPr>
      <w:r>
        <w:rPr>
          <w:rFonts w:ascii="Times New Roman" w:hAnsi="Times New Roman"/>
          <w:u w:color="0000FF"/>
          <w:lang w:val="et-EE"/>
        </w:rPr>
        <w:t xml:space="preserve">Eelnõus esitatud muudatused on </w:t>
      </w:r>
      <w:r w:rsidR="00905CAD">
        <w:rPr>
          <w:rFonts w:ascii="Times New Roman" w:hAnsi="Times New Roman"/>
          <w:u w:color="0000FF"/>
          <w:lang w:val="et-EE"/>
        </w:rPr>
        <w:t xml:space="preserve">valdavalt </w:t>
      </w:r>
      <w:r>
        <w:rPr>
          <w:rFonts w:ascii="Times New Roman" w:hAnsi="Times New Roman"/>
          <w:u w:color="0000FF"/>
          <w:lang w:val="et-EE"/>
        </w:rPr>
        <w:t xml:space="preserve">olemuslikult tehnilist laadi ning </w:t>
      </w:r>
      <w:r w:rsidRPr="00A74A3E">
        <w:rPr>
          <w:rFonts w:ascii="Times New Roman" w:hAnsi="Times New Roman"/>
          <w:u w:color="0000FF"/>
          <w:lang w:val="et-EE"/>
        </w:rPr>
        <w:t>seaduseelnõu seadusena rakendamisega ei kaasne olulist õiguslikku muudatust või muud olulist mõju</w:t>
      </w:r>
      <w:r>
        <w:rPr>
          <w:rFonts w:ascii="Times New Roman" w:hAnsi="Times New Roman"/>
          <w:u w:color="0000FF"/>
          <w:lang w:val="et-EE"/>
        </w:rPr>
        <w:t xml:space="preserve">. </w:t>
      </w:r>
      <w:r w:rsidR="00E422FC">
        <w:rPr>
          <w:rFonts w:ascii="Times New Roman" w:hAnsi="Times New Roman"/>
          <w:u w:color="0000FF"/>
          <w:lang w:val="et-EE"/>
        </w:rPr>
        <w:t>E</w:t>
      </w:r>
      <w:r w:rsidR="00E422FC" w:rsidRPr="00E422FC">
        <w:rPr>
          <w:rFonts w:ascii="Times New Roman" w:hAnsi="Times New Roman"/>
          <w:u w:color="0000FF"/>
          <w:lang w:val="et-EE"/>
        </w:rPr>
        <w:t xml:space="preserve">namus eelnõu muudatusi </w:t>
      </w:r>
      <w:r w:rsidR="00E422FC">
        <w:rPr>
          <w:rFonts w:ascii="Times New Roman" w:hAnsi="Times New Roman"/>
          <w:u w:color="0000FF"/>
          <w:lang w:val="et-EE"/>
        </w:rPr>
        <w:t>v</w:t>
      </w:r>
      <w:r w:rsidR="00E422FC" w:rsidRPr="00E422FC">
        <w:rPr>
          <w:rFonts w:ascii="Times New Roman" w:hAnsi="Times New Roman"/>
          <w:u w:color="0000FF"/>
          <w:lang w:val="et-EE"/>
        </w:rPr>
        <w:t>ähenda</w:t>
      </w:r>
      <w:r w:rsidR="00E422FC">
        <w:rPr>
          <w:rFonts w:ascii="Times New Roman" w:hAnsi="Times New Roman"/>
          <w:u w:color="0000FF"/>
          <w:lang w:val="et-EE"/>
        </w:rPr>
        <w:t>vad</w:t>
      </w:r>
      <w:r w:rsidR="00E422FC" w:rsidRPr="00E422FC">
        <w:rPr>
          <w:rFonts w:ascii="Times New Roman" w:hAnsi="Times New Roman"/>
          <w:u w:color="0000FF"/>
          <w:lang w:val="et-EE"/>
        </w:rPr>
        <w:t xml:space="preserve"> osaliste koormust ning suurenda</w:t>
      </w:r>
      <w:r w:rsidR="00E422FC">
        <w:rPr>
          <w:rFonts w:ascii="Times New Roman" w:hAnsi="Times New Roman"/>
          <w:u w:color="0000FF"/>
          <w:lang w:val="et-EE"/>
        </w:rPr>
        <w:t>vad</w:t>
      </w:r>
      <w:r w:rsidR="00E422FC" w:rsidRPr="00E422FC">
        <w:rPr>
          <w:rFonts w:ascii="Times New Roman" w:hAnsi="Times New Roman"/>
          <w:u w:color="0000FF"/>
          <w:lang w:val="et-EE"/>
        </w:rPr>
        <w:t xml:space="preserve"> paindlikkust tegutsemisel, </w:t>
      </w:r>
      <w:r w:rsidR="00E422FC">
        <w:rPr>
          <w:rFonts w:ascii="Times New Roman" w:hAnsi="Times New Roman"/>
          <w:u w:color="0000FF"/>
          <w:lang w:val="et-EE"/>
        </w:rPr>
        <w:t xml:space="preserve">ei tõsta aga </w:t>
      </w:r>
      <w:r w:rsidR="00E422FC" w:rsidRPr="00E422FC">
        <w:rPr>
          <w:rFonts w:ascii="Times New Roman" w:hAnsi="Times New Roman"/>
          <w:u w:color="0000FF"/>
          <w:lang w:val="et-EE"/>
        </w:rPr>
        <w:t>samal ajal riske.</w:t>
      </w:r>
    </w:p>
    <w:p w14:paraId="32FBBDCD" w14:textId="77777777" w:rsidR="00927696" w:rsidRDefault="00927696" w:rsidP="00D32BED">
      <w:pPr>
        <w:jc w:val="both"/>
        <w:rPr>
          <w:rFonts w:ascii="Times New Roman" w:hAnsi="Times New Roman"/>
          <w:u w:color="0000FF"/>
          <w:lang w:val="et-EE"/>
        </w:rPr>
      </w:pPr>
    </w:p>
    <w:p w14:paraId="2D4AB6CA" w14:textId="335DCF4A" w:rsidR="00927696" w:rsidRDefault="00166EF2" w:rsidP="00D32BED">
      <w:pPr>
        <w:jc w:val="both"/>
        <w:rPr>
          <w:rFonts w:ascii="Times New Roman" w:hAnsi="Times New Roman"/>
          <w:u w:color="0000FF"/>
          <w:lang w:val="et-EE"/>
        </w:rPr>
      </w:pPr>
      <w:r>
        <w:rPr>
          <w:rFonts w:ascii="Times New Roman" w:hAnsi="Times New Roman"/>
          <w:u w:color="0000FF"/>
          <w:lang w:val="et-EE"/>
        </w:rPr>
        <w:t xml:space="preserve">PEPPi määruses </w:t>
      </w:r>
      <w:r w:rsidR="00927696">
        <w:rPr>
          <w:rFonts w:ascii="Times New Roman" w:hAnsi="Times New Roman"/>
          <w:u w:color="0000FF"/>
          <w:lang w:val="et-EE"/>
        </w:rPr>
        <w:t>kehtestatud nõuete rikkumisega kaasnevate väärteokaristuste määrad on jäänud ajakohastamata tulenevalt kahe eelnõu omaaegsest paralleelsest menetlusest ja eelnõu viib vastavad väärteokaristuste määrad vastavusse finantssektori uute analoogsete normidega. Võrreldes läbiviidud finantsvaldkonna väärteokaristuste reformiga eelnõu põhimõttelisi muudatusi ei tee.</w:t>
      </w:r>
    </w:p>
    <w:p w14:paraId="613592D4" w14:textId="77777777" w:rsidR="00927696" w:rsidRDefault="00927696" w:rsidP="00D32BED">
      <w:pPr>
        <w:jc w:val="both"/>
        <w:rPr>
          <w:rFonts w:ascii="Times New Roman" w:hAnsi="Times New Roman"/>
          <w:u w:color="0000FF"/>
          <w:lang w:val="et-EE"/>
        </w:rPr>
      </w:pPr>
    </w:p>
    <w:p w14:paraId="013FA510" w14:textId="0468EAC0" w:rsidR="006F3AC2" w:rsidRDefault="00332594" w:rsidP="00D32BED">
      <w:pPr>
        <w:widowControl w:val="0"/>
        <w:autoSpaceDE w:val="0"/>
        <w:autoSpaceDN w:val="0"/>
        <w:adjustRightInd w:val="0"/>
        <w:jc w:val="both"/>
        <w:rPr>
          <w:rFonts w:ascii="Times New Roman" w:hAnsi="Times New Roman"/>
          <w:u w:color="0000FF"/>
          <w:lang w:val="et-EE"/>
        </w:rPr>
      </w:pPr>
      <w:r>
        <w:rPr>
          <w:rFonts w:ascii="Times New Roman" w:hAnsi="Times New Roman"/>
          <w:u w:color="0000FF"/>
          <w:lang w:val="et-EE"/>
        </w:rPr>
        <w:t>Erandiks võiks pidada määruse 2019/2088 ja sellega kaasnevalt määruse 2020/852 kohaldamist kohustuslike pensionifondide valitsemise suhtes, mille suhtes on liikmesriikidele jäetud kaalutlusõigus. Määruste kohaldamist on eelnõu väljatöötamise käigus mitteametlikult konsulteeritud kohustuslike pensionifondide valitsejatega, kellelt vastuväiteid ei laekunud. Samad fondivalitsejad valitsevad lisaks ka vabatahtlikke pensionifonde ja osad neist ka eurofonde või alternatiivfonde, mille kõigi puhul tuleb j</w:t>
      </w:r>
      <w:r w:rsidRPr="00E86CAE">
        <w:rPr>
          <w:rFonts w:ascii="Times New Roman" w:hAnsi="Times New Roman"/>
          <w:u w:color="0000FF"/>
          <w:lang w:val="et-EE"/>
        </w:rPr>
        <w:t>ätkusuutlikkust käsitlevat teavet</w:t>
      </w:r>
      <w:r>
        <w:rPr>
          <w:rFonts w:ascii="Times New Roman" w:hAnsi="Times New Roman"/>
          <w:u w:color="0000FF"/>
          <w:lang w:val="et-EE"/>
        </w:rPr>
        <w:t xml:space="preserve"> viidatud määruste kohaselt nagunii avaldada ning teada olevalt on vähemalt enamik neid samu põhimõtteid oma valitsetavate kohustuslike pensionifondide puhul ka juba vabatahtlikult rakendanud. Seega ei too eelnõus esitatud muudatus kaasa olulist sisulist mõju. Eelnõu väljatöötamise käigus sektorilt laekunud tagasiside kohaselt on ka eelistatud käsitlus selline, kus mõlemat liiki pensionifondidele kohaldatakse ühetaolisi nõudeid.    </w:t>
      </w:r>
    </w:p>
    <w:p w14:paraId="63833427" w14:textId="77777777" w:rsidR="006F3AC2" w:rsidRDefault="006F3AC2" w:rsidP="00D32BED">
      <w:pPr>
        <w:jc w:val="both"/>
        <w:rPr>
          <w:rFonts w:ascii="Times New Roman" w:hAnsi="Times New Roman"/>
          <w:u w:color="0000FF"/>
          <w:lang w:val="et-EE"/>
        </w:rPr>
      </w:pPr>
    </w:p>
    <w:p w14:paraId="6664220D" w14:textId="480278AE" w:rsidR="00A74A3E" w:rsidRDefault="00905CAD" w:rsidP="00D32BED">
      <w:pPr>
        <w:jc w:val="both"/>
        <w:rPr>
          <w:rFonts w:ascii="Times New Roman" w:hAnsi="Times New Roman"/>
          <w:u w:color="0000FF"/>
          <w:lang w:val="et-EE"/>
        </w:rPr>
      </w:pPr>
      <w:r>
        <w:rPr>
          <w:rFonts w:ascii="Times New Roman" w:hAnsi="Times New Roman"/>
          <w:u w:color="0000FF"/>
          <w:lang w:val="et-EE"/>
        </w:rPr>
        <w:lastRenderedPageBreak/>
        <w:t>Eelnevast</w:t>
      </w:r>
      <w:r w:rsidR="00A74A3E">
        <w:rPr>
          <w:rFonts w:ascii="Times New Roman" w:hAnsi="Times New Roman"/>
          <w:u w:color="0000FF"/>
          <w:lang w:val="et-EE"/>
        </w:rPr>
        <w:t xml:space="preserve"> tulenevalt ei ole eelnõule väljatöötamiskavatsust koostatud (hea õigusloome ja normitehnika eeskirja § 1 lõike 2 punkt 5). </w:t>
      </w:r>
    </w:p>
    <w:p w14:paraId="2A5A0A77" w14:textId="77777777" w:rsidR="00A74A3E" w:rsidRDefault="00A74A3E" w:rsidP="00D32BED">
      <w:pPr>
        <w:jc w:val="both"/>
        <w:rPr>
          <w:rFonts w:ascii="Times New Roman" w:hAnsi="Times New Roman"/>
          <w:u w:color="0000FF"/>
          <w:lang w:val="et-EE"/>
        </w:rPr>
      </w:pPr>
    </w:p>
    <w:p w14:paraId="2043F08E" w14:textId="512052C4" w:rsidR="00A74A3E" w:rsidRDefault="00A74A3E" w:rsidP="00D32BED">
      <w:pPr>
        <w:jc w:val="both"/>
        <w:rPr>
          <w:rFonts w:ascii="Times New Roman" w:hAnsi="Times New Roman"/>
          <w:u w:color="0000FF"/>
          <w:lang w:val="et-EE"/>
        </w:rPr>
      </w:pPr>
      <w:r>
        <w:rPr>
          <w:rFonts w:ascii="Times New Roman" w:hAnsi="Times New Roman"/>
          <w:u w:color="0000FF"/>
          <w:lang w:val="et-EE"/>
        </w:rPr>
        <w:t>Eelnõu väljatöötamisel on siiski konsulteeritud Finantsinspektsiooni, Pensionikeskuse, Eesti Pangaliidu</w:t>
      </w:r>
      <w:r w:rsidRPr="007A3848">
        <w:rPr>
          <w:rFonts w:ascii="Times New Roman" w:hAnsi="Times New Roman"/>
          <w:u w:color="0000FF"/>
          <w:lang w:val="et-EE"/>
        </w:rPr>
        <w:t>, FinanceEstonia ja Eesti Kindlustusseltside Liiduga.</w:t>
      </w:r>
      <w:r>
        <w:rPr>
          <w:rFonts w:ascii="Times New Roman" w:hAnsi="Times New Roman"/>
          <w:u w:color="0000FF"/>
          <w:lang w:val="et-EE"/>
        </w:rPr>
        <w:t xml:space="preserve"> </w:t>
      </w:r>
    </w:p>
    <w:p w14:paraId="5C7F655D" w14:textId="5B6DD9A8" w:rsidR="00A74A3E" w:rsidRDefault="00A74A3E" w:rsidP="00D32BED">
      <w:pPr>
        <w:jc w:val="both"/>
        <w:rPr>
          <w:rFonts w:ascii="Times New Roman" w:hAnsi="Times New Roman"/>
          <w:u w:color="0000FF"/>
          <w:lang w:val="et-EE"/>
        </w:rPr>
      </w:pPr>
      <w:r>
        <w:rPr>
          <w:rFonts w:ascii="Times New Roman" w:hAnsi="Times New Roman"/>
          <w:u w:color="0000FF"/>
          <w:lang w:val="et-EE"/>
        </w:rPr>
        <w:t xml:space="preserve"> </w:t>
      </w:r>
    </w:p>
    <w:p w14:paraId="7F92E9F6" w14:textId="77777777" w:rsidR="0055464A" w:rsidRDefault="0055464A" w:rsidP="00D32BED">
      <w:pPr>
        <w:widowControl w:val="0"/>
        <w:autoSpaceDE w:val="0"/>
        <w:autoSpaceDN w:val="0"/>
        <w:adjustRightInd w:val="0"/>
        <w:jc w:val="both"/>
        <w:rPr>
          <w:rFonts w:ascii="Times New Roman" w:hAnsi="Times New Roman"/>
          <w:b/>
          <w:bCs/>
          <w:u w:color="0000FF"/>
          <w:lang w:val="et-EE"/>
        </w:rPr>
      </w:pPr>
    </w:p>
    <w:p w14:paraId="63D8D17F" w14:textId="12C3E0C7" w:rsidR="00AE3C65" w:rsidRPr="00966B16" w:rsidRDefault="001F1132" w:rsidP="00D32BED">
      <w:pPr>
        <w:widowControl w:val="0"/>
        <w:autoSpaceDE w:val="0"/>
        <w:autoSpaceDN w:val="0"/>
        <w:adjustRightInd w:val="0"/>
        <w:jc w:val="both"/>
        <w:rPr>
          <w:rFonts w:ascii="Times New Roman" w:hAnsi="Times New Roman"/>
          <w:b/>
          <w:bCs/>
          <w:u w:color="0000FF"/>
          <w:lang w:val="et-EE"/>
        </w:rPr>
      </w:pPr>
      <w:r w:rsidRPr="008D385C">
        <w:rPr>
          <w:rFonts w:ascii="Times New Roman" w:hAnsi="Times New Roman"/>
          <w:b/>
          <w:bCs/>
          <w:u w:color="0000FF"/>
          <w:lang w:val="et-EE"/>
        </w:rPr>
        <w:t xml:space="preserve">3. </w:t>
      </w:r>
      <w:r w:rsidR="00966B16" w:rsidRPr="008D385C">
        <w:rPr>
          <w:rFonts w:ascii="Times New Roman" w:hAnsi="Times New Roman"/>
          <w:b/>
          <w:bCs/>
          <w:u w:color="0000FF"/>
          <w:lang w:val="et-EE"/>
        </w:rPr>
        <w:t>Eelnõu sisu ja võrdlev analüüs</w:t>
      </w:r>
    </w:p>
    <w:p w14:paraId="370B98B4" w14:textId="77777777" w:rsidR="00913D1A" w:rsidRDefault="00913D1A" w:rsidP="00D32BED">
      <w:pPr>
        <w:widowControl w:val="0"/>
        <w:autoSpaceDE w:val="0"/>
        <w:autoSpaceDN w:val="0"/>
        <w:adjustRightInd w:val="0"/>
        <w:jc w:val="both"/>
        <w:rPr>
          <w:rFonts w:ascii="Times New Roman" w:hAnsi="Times New Roman"/>
          <w:b/>
          <w:bCs/>
          <w:u w:color="0000FF"/>
          <w:lang w:val="et-EE"/>
        </w:rPr>
      </w:pPr>
    </w:p>
    <w:p w14:paraId="0FE9E276" w14:textId="269B2F13" w:rsidR="00AE3C65" w:rsidRPr="00966B16" w:rsidRDefault="00AE3C65" w:rsidP="00D32BED">
      <w:pPr>
        <w:widowControl w:val="0"/>
        <w:autoSpaceDE w:val="0"/>
        <w:autoSpaceDN w:val="0"/>
        <w:adjustRightInd w:val="0"/>
        <w:jc w:val="both"/>
        <w:rPr>
          <w:rFonts w:ascii="Times New Roman" w:hAnsi="Times New Roman"/>
          <w:b/>
          <w:bCs/>
          <w:u w:color="0000FF"/>
          <w:lang w:val="et-EE"/>
        </w:rPr>
      </w:pPr>
      <w:r w:rsidRPr="008D385C">
        <w:rPr>
          <w:rFonts w:ascii="Times New Roman" w:hAnsi="Times New Roman"/>
          <w:b/>
          <w:bCs/>
          <w:u w:color="0000FF"/>
          <w:lang w:val="et-EE"/>
        </w:rPr>
        <w:t xml:space="preserve">3.1. </w:t>
      </w:r>
      <w:r w:rsidR="001F1132" w:rsidRPr="008D385C">
        <w:rPr>
          <w:rFonts w:ascii="Times New Roman" w:hAnsi="Times New Roman"/>
          <w:b/>
          <w:bCs/>
          <w:u w:color="0000FF"/>
          <w:lang w:val="et-EE"/>
        </w:rPr>
        <w:t xml:space="preserve">Eelnõu § 1 </w:t>
      </w:r>
      <w:r w:rsidR="002A336B">
        <w:rPr>
          <w:rFonts w:ascii="Times New Roman" w:hAnsi="Times New Roman"/>
          <w:b/>
          <w:bCs/>
          <w:u w:color="0000FF"/>
          <w:lang w:val="et-EE"/>
        </w:rPr>
        <w:t>–</w:t>
      </w:r>
      <w:r w:rsidR="001F1132" w:rsidRPr="008D385C">
        <w:rPr>
          <w:rFonts w:ascii="Times New Roman" w:hAnsi="Times New Roman"/>
          <w:b/>
          <w:bCs/>
          <w:u w:color="0000FF"/>
          <w:lang w:val="et-EE"/>
        </w:rPr>
        <w:t xml:space="preserve"> </w:t>
      </w:r>
      <w:r w:rsidR="00CF18C0">
        <w:rPr>
          <w:rFonts w:ascii="Times New Roman" w:hAnsi="Times New Roman"/>
          <w:b/>
          <w:bCs/>
          <w:u w:color="0000FF"/>
          <w:lang w:val="et-EE"/>
        </w:rPr>
        <w:t>kogumispensionide</w:t>
      </w:r>
      <w:r w:rsidR="002A336B">
        <w:rPr>
          <w:rFonts w:ascii="Times New Roman" w:hAnsi="Times New Roman"/>
          <w:b/>
          <w:bCs/>
          <w:u w:color="0000FF"/>
          <w:lang w:val="et-EE"/>
        </w:rPr>
        <w:t xml:space="preserve"> </w:t>
      </w:r>
      <w:r w:rsidRPr="008D385C">
        <w:rPr>
          <w:rFonts w:ascii="Times New Roman" w:hAnsi="Times New Roman"/>
          <w:b/>
          <w:bCs/>
          <w:u w:color="0000FF"/>
          <w:lang w:val="et-EE"/>
        </w:rPr>
        <w:t>seaduse</w:t>
      </w:r>
      <w:r w:rsidR="006214E5">
        <w:rPr>
          <w:rFonts w:ascii="Times New Roman" w:hAnsi="Times New Roman"/>
          <w:b/>
          <w:bCs/>
          <w:u w:color="0000FF"/>
          <w:lang w:val="et-EE"/>
        </w:rPr>
        <w:t xml:space="preserve"> (KoPS)</w:t>
      </w:r>
      <w:r w:rsidRPr="008D385C">
        <w:rPr>
          <w:rFonts w:ascii="Times New Roman" w:hAnsi="Times New Roman"/>
          <w:b/>
          <w:bCs/>
          <w:u w:color="0000FF"/>
          <w:lang w:val="et-EE"/>
        </w:rPr>
        <w:t xml:space="preserve"> muutmine</w:t>
      </w:r>
    </w:p>
    <w:p w14:paraId="7C6B5066" w14:textId="386998BB" w:rsidR="007717F5" w:rsidRDefault="00C1191F" w:rsidP="00D32BED">
      <w:pPr>
        <w:jc w:val="both"/>
        <w:rPr>
          <w:rFonts w:ascii="Times New Roman" w:hAnsi="Times New Roman"/>
          <w:bCs/>
          <w:lang w:val="et-EE"/>
        </w:rPr>
      </w:pPr>
      <w:r>
        <w:rPr>
          <w:rFonts w:ascii="Times New Roman" w:hAnsi="Times New Roman"/>
          <w:b/>
          <w:lang w:val="et-EE"/>
        </w:rPr>
        <w:t xml:space="preserve">KoPS § </w:t>
      </w:r>
      <w:r w:rsidR="00A74A3E">
        <w:rPr>
          <w:rFonts w:ascii="Times New Roman" w:hAnsi="Times New Roman"/>
          <w:b/>
          <w:lang w:val="et-EE"/>
        </w:rPr>
        <w:t>3</w:t>
      </w:r>
      <w:r w:rsidR="00A74A3E">
        <w:rPr>
          <w:rFonts w:ascii="Times New Roman" w:hAnsi="Times New Roman"/>
          <w:b/>
          <w:vertAlign w:val="superscript"/>
          <w:lang w:val="et-EE"/>
        </w:rPr>
        <w:t>1</w:t>
      </w:r>
      <w:r w:rsidR="00A74A3E">
        <w:rPr>
          <w:rFonts w:ascii="Times New Roman" w:hAnsi="Times New Roman"/>
          <w:b/>
          <w:lang w:val="et-EE"/>
        </w:rPr>
        <w:t xml:space="preserve"> lõi</w:t>
      </w:r>
      <w:r w:rsidR="00AC7D30">
        <w:rPr>
          <w:rFonts w:ascii="Times New Roman" w:hAnsi="Times New Roman"/>
          <w:b/>
          <w:lang w:val="et-EE"/>
        </w:rPr>
        <w:t>k</w:t>
      </w:r>
      <w:r w:rsidR="00A74A3E">
        <w:rPr>
          <w:rFonts w:ascii="Times New Roman" w:hAnsi="Times New Roman"/>
          <w:b/>
          <w:lang w:val="et-EE"/>
        </w:rPr>
        <w:t>e</w:t>
      </w:r>
      <w:r w:rsidR="00AC7D30">
        <w:rPr>
          <w:rFonts w:ascii="Times New Roman" w:hAnsi="Times New Roman"/>
          <w:b/>
          <w:lang w:val="et-EE"/>
        </w:rPr>
        <w:t>d</w:t>
      </w:r>
      <w:r w:rsidR="00A74A3E">
        <w:rPr>
          <w:rFonts w:ascii="Times New Roman" w:hAnsi="Times New Roman"/>
          <w:b/>
          <w:lang w:val="et-EE"/>
        </w:rPr>
        <w:t xml:space="preserve"> 7</w:t>
      </w:r>
      <w:r w:rsidR="00AC7D30">
        <w:rPr>
          <w:rFonts w:ascii="Times New Roman" w:hAnsi="Times New Roman"/>
          <w:b/>
          <w:lang w:val="et-EE"/>
        </w:rPr>
        <w:t xml:space="preserve"> ja 7</w:t>
      </w:r>
      <w:r w:rsidR="00AC7D30">
        <w:rPr>
          <w:rFonts w:ascii="Times New Roman" w:hAnsi="Times New Roman"/>
          <w:b/>
          <w:vertAlign w:val="superscript"/>
          <w:lang w:val="et-EE"/>
        </w:rPr>
        <w:t>1</w:t>
      </w:r>
      <w:r w:rsidR="00A74A3E">
        <w:rPr>
          <w:rFonts w:ascii="Times New Roman" w:hAnsi="Times New Roman"/>
          <w:b/>
          <w:lang w:val="et-EE"/>
        </w:rPr>
        <w:t xml:space="preserve">. </w:t>
      </w:r>
      <w:r w:rsidR="007717F5" w:rsidRPr="007717F5">
        <w:rPr>
          <w:rFonts w:ascii="Times New Roman" w:hAnsi="Times New Roman"/>
          <w:bCs/>
          <w:lang w:val="et-EE"/>
        </w:rPr>
        <w:t xml:space="preserve">Paragrahv reguleerib pensioni investeerimiskontot. </w:t>
      </w:r>
      <w:r w:rsidR="007717F5">
        <w:rPr>
          <w:rFonts w:ascii="Times New Roman" w:hAnsi="Times New Roman"/>
          <w:bCs/>
          <w:lang w:val="et-EE"/>
        </w:rPr>
        <w:t xml:space="preserve">Eelnõuga antakse selle </w:t>
      </w:r>
      <w:r w:rsidR="007717F5" w:rsidRPr="00D11746">
        <w:rPr>
          <w:rFonts w:ascii="Times New Roman" w:hAnsi="Times New Roman"/>
          <w:bCs/>
          <w:u w:val="single"/>
          <w:lang w:val="et-EE"/>
        </w:rPr>
        <w:t>l</w:t>
      </w:r>
      <w:r w:rsidR="00A74A3E" w:rsidRPr="00D11746">
        <w:rPr>
          <w:rFonts w:ascii="Times New Roman" w:hAnsi="Times New Roman"/>
          <w:bCs/>
          <w:u w:val="single"/>
          <w:lang w:val="et-EE"/>
        </w:rPr>
        <w:t>õikele 7</w:t>
      </w:r>
      <w:r w:rsidR="00A74A3E" w:rsidRPr="00A74A3E">
        <w:rPr>
          <w:rFonts w:ascii="Times New Roman" w:hAnsi="Times New Roman"/>
          <w:bCs/>
          <w:lang w:val="et-EE"/>
        </w:rPr>
        <w:t xml:space="preserve"> uus sõnastus</w:t>
      </w:r>
      <w:r w:rsidR="007717F5">
        <w:rPr>
          <w:rFonts w:ascii="Times New Roman" w:hAnsi="Times New Roman"/>
          <w:bCs/>
          <w:lang w:val="et-EE"/>
        </w:rPr>
        <w:t>: „</w:t>
      </w:r>
      <w:r w:rsidR="007717F5" w:rsidRPr="007717F5">
        <w:rPr>
          <w:rFonts w:ascii="Times New Roman" w:hAnsi="Times New Roman"/>
          <w:bCs/>
          <w:lang w:val="et-EE"/>
        </w:rPr>
        <w:t>Pensioni investeerimiskonto ja finantsvaraga seotud tasud ja kulud makstakse pensioni investeerimiskontol olevast rahast. Kui pensioni investeerimiskontol ei ole raha nimetatud tasude ja kulude maksmiseks, on krediidiasutusel õigus lubada puuduoleva summa ulatuses pensioni investeerimiskonto jääki ületada ning arvestada sellelt viivitusintressi, kasutada selleks pensioni investeerimiskonto kaudu soetatud finantsvara võõrandamist, sealhulgas finantsvara soetamisel sõlmitud lepingu lõpetamist, või realiseerides muul viisil finantsvarast tuleneva väärtuse.</w:t>
      </w:r>
      <w:r w:rsidR="00AC7D30">
        <w:rPr>
          <w:rFonts w:ascii="Times New Roman" w:hAnsi="Times New Roman"/>
          <w:bCs/>
          <w:lang w:val="et-EE"/>
        </w:rPr>
        <w:t>“</w:t>
      </w:r>
      <w:r w:rsidR="00704C18">
        <w:rPr>
          <w:rFonts w:ascii="Times New Roman" w:hAnsi="Times New Roman"/>
          <w:bCs/>
          <w:lang w:val="et-EE"/>
        </w:rPr>
        <w:t>.</w:t>
      </w:r>
      <w:r w:rsidR="007717F5" w:rsidRPr="007717F5">
        <w:rPr>
          <w:rFonts w:ascii="Times New Roman" w:hAnsi="Times New Roman"/>
          <w:bCs/>
          <w:lang w:val="et-EE"/>
        </w:rPr>
        <w:t xml:space="preserve"> </w:t>
      </w:r>
      <w:r w:rsidR="00AC7D30">
        <w:rPr>
          <w:rFonts w:ascii="Times New Roman" w:hAnsi="Times New Roman"/>
          <w:bCs/>
          <w:lang w:val="et-EE"/>
        </w:rPr>
        <w:t xml:space="preserve">Kulude katmine viimase võimalusena samas krediidiasutuses oleval muul pangakontol oleva raha arvelt, mis kehtivas seaduses on samuti lõikes 7 sätestatud, tõstetakse eelnõuga </w:t>
      </w:r>
      <w:r w:rsidR="00AC7D30" w:rsidRPr="00D11746">
        <w:rPr>
          <w:rFonts w:ascii="Times New Roman" w:hAnsi="Times New Roman"/>
          <w:bCs/>
          <w:u w:val="single"/>
          <w:lang w:val="et-EE"/>
        </w:rPr>
        <w:t>lõikesse 7</w:t>
      </w:r>
      <w:r w:rsidR="00AC7D30" w:rsidRPr="00D11746">
        <w:rPr>
          <w:rFonts w:ascii="Times New Roman" w:hAnsi="Times New Roman"/>
          <w:bCs/>
          <w:u w:val="single"/>
          <w:vertAlign w:val="superscript"/>
          <w:lang w:val="et-EE"/>
        </w:rPr>
        <w:t>1</w:t>
      </w:r>
      <w:r w:rsidR="00AC7D30">
        <w:rPr>
          <w:rFonts w:ascii="Times New Roman" w:hAnsi="Times New Roman"/>
          <w:bCs/>
          <w:lang w:val="et-EE"/>
        </w:rPr>
        <w:t>, lisades sinna viite ka viivitusintressile: „</w:t>
      </w:r>
      <w:r w:rsidR="007717F5" w:rsidRPr="007717F5">
        <w:rPr>
          <w:rFonts w:ascii="Times New Roman" w:hAnsi="Times New Roman"/>
          <w:bCs/>
          <w:lang w:val="et-EE"/>
        </w:rPr>
        <w:t>Kui käesolevas paragrahvis sätestatud meetmed ei ole rakendatavad, on krediidiasutusel õigus katta pensioni investeerimiskonto ja finantsvaraga seotud tasusid ja kulusid, sealhulgas viivitusintressi isiku samas krediidiasutuses oleval muul pangakontol oleva raha arvelt.“</w:t>
      </w:r>
      <w:r w:rsidR="007717F5">
        <w:rPr>
          <w:rFonts w:ascii="Times New Roman" w:hAnsi="Times New Roman"/>
          <w:bCs/>
          <w:lang w:val="et-EE"/>
        </w:rPr>
        <w:t>.</w:t>
      </w:r>
    </w:p>
    <w:p w14:paraId="587DD39B" w14:textId="20807DEA" w:rsidR="007717F5" w:rsidRDefault="00A74A3E" w:rsidP="00D32BED">
      <w:pPr>
        <w:jc w:val="both"/>
        <w:rPr>
          <w:rFonts w:ascii="Times New Roman" w:hAnsi="Times New Roman"/>
          <w:bCs/>
          <w:lang w:val="et-EE"/>
        </w:rPr>
      </w:pPr>
      <w:r w:rsidRPr="007717F5">
        <w:rPr>
          <w:rFonts w:ascii="Times New Roman" w:hAnsi="Times New Roman"/>
          <w:bCs/>
          <w:lang w:val="et-EE"/>
        </w:rPr>
        <w:t xml:space="preserve"> </w:t>
      </w:r>
    </w:p>
    <w:p w14:paraId="460B658C" w14:textId="791664FB" w:rsidR="007717F5" w:rsidRPr="007717F5" w:rsidRDefault="007717F5" w:rsidP="00D32BED">
      <w:pPr>
        <w:jc w:val="both"/>
        <w:rPr>
          <w:rFonts w:ascii="Times New Roman" w:hAnsi="Times New Roman"/>
          <w:bCs/>
          <w:lang w:val="et-EE"/>
        </w:rPr>
      </w:pPr>
      <w:r w:rsidRPr="007717F5">
        <w:rPr>
          <w:rFonts w:ascii="Times New Roman" w:hAnsi="Times New Roman"/>
          <w:bCs/>
          <w:lang w:val="et-EE"/>
        </w:rPr>
        <w:t>Muudatus puudutab</w:t>
      </w:r>
      <w:r>
        <w:rPr>
          <w:rFonts w:ascii="Times New Roman" w:hAnsi="Times New Roman"/>
          <w:bCs/>
          <w:lang w:val="et-EE"/>
        </w:rPr>
        <w:t xml:space="preserve"> </w:t>
      </w:r>
      <w:r w:rsidRPr="007717F5">
        <w:rPr>
          <w:rFonts w:ascii="Times New Roman" w:hAnsi="Times New Roman"/>
          <w:bCs/>
          <w:lang w:val="et-EE"/>
        </w:rPr>
        <w:t xml:space="preserve">pensioni investeerimiskonto </w:t>
      </w:r>
      <w:r>
        <w:rPr>
          <w:rFonts w:ascii="Times New Roman" w:hAnsi="Times New Roman"/>
          <w:bCs/>
          <w:lang w:val="et-EE"/>
        </w:rPr>
        <w:t>k</w:t>
      </w:r>
      <w:r w:rsidRPr="007717F5">
        <w:rPr>
          <w:rFonts w:ascii="Times New Roman" w:hAnsi="Times New Roman"/>
          <w:bCs/>
          <w:lang w:val="et-EE"/>
        </w:rPr>
        <w:t xml:space="preserve">asutamisega kaasnevate tasude maksmist ja kulude katmist. Põhimõte, et kõik sellised tasud ja kulud püütakse esmajärjekorras katta II samba raha arvelt ja et kui see ei osutu võimalikuks (pensioni investeerimiskontol pole raha ja uued maksed ei laeku sellele kontole), on </w:t>
      </w:r>
      <w:r w:rsidR="00803828">
        <w:rPr>
          <w:rFonts w:ascii="Times New Roman" w:hAnsi="Times New Roman"/>
          <w:bCs/>
          <w:lang w:val="et-EE"/>
        </w:rPr>
        <w:t>krediidiasutusel</w:t>
      </w:r>
      <w:r w:rsidRPr="007717F5">
        <w:rPr>
          <w:rFonts w:ascii="Times New Roman" w:hAnsi="Times New Roman"/>
          <w:bCs/>
          <w:lang w:val="et-EE"/>
        </w:rPr>
        <w:t xml:space="preserve"> võimalik katta kulusid ka samale isikule avatud muul pangakontol oleva raha arvelt</w:t>
      </w:r>
      <w:r>
        <w:rPr>
          <w:rFonts w:ascii="Times New Roman" w:hAnsi="Times New Roman"/>
          <w:bCs/>
          <w:lang w:val="et-EE"/>
        </w:rPr>
        <w:t>, jääb paika</w:t>
      </w:r>
      <w:r w:rsidRPr="007717F5">
        <w:rPr>
          <w:rFonts w:ascii="Times New Roman" w:hAnsi="Times New Roman"/>
          <w:bCs/>
          <w:lang w:val="et-EE"/>
        </w:rPr>
        <w:t xml:space="preserve">. </w:t>
      </w:r>
      <w:r>
        <w:rPr>
          <w:rFonts w:ascii="Times New Roman" w:hAnsi="Times New Roman"/>
          <w:bCs/>
          <w:lang w:val="et-EE"/>
        </w:rPr>
        <w:t>Eelnõuga</w:t>
      </w:r>
      <w:r w:rsidRPr="007717F5">
        <w:rPr>
          <w:rFonts w:ascii="Times New Roman" w:hAnsi="Times New Roman"/>
          <w:bCs/>
          <w:lang w:val="et-EE"/>
        </w:rPr>
        <w:t xml:space="preserve"> täpsustatakse</w:t>
      </w:r>
      <w:r>
        <w:rPr>
          <w:rFonts w:ascii="Times New Roman" w:hAnsi="Times New Roman"/>
          <w:bCs/>
          <w:lang w:val="et-EE"/>
        </w:rPr>
        <w:t xml:space="preserve"> aga</w:t>
      </w:r>
      <w:r w:rsidRPr="007717F5">
        <w:rPr>
          <w:rFonts w:ascii="Times New Roman" w:hAnsi="Times New Roman"/>
          <w:bCs/>
          <w:lang w:val="et-EE"/>
        </w:rPr>
        <w:t xml:space="preserve">, et </w:t>
      </w:r>
      <w:r w:rsidR="00803828">
        <w:rPr>
          <w:rFonts w:ascii="Times New Roman" w:hAnsi="Times New Roman"/>
          <w:bCs/>
          <w:lang w:val="et-EE"/>
        </w:rPr>
        <w:t>krediidiasutus</w:t>
      </w:r>
      <w:r w:rsidRPr="007717F5">
        <w:rPr>
          <w:rFonts w:ascii="Times New Roman" w:hAnsi="Times New Roman"/>
          <w:bCs/>
          <w:lang w:val="et-EE"/>
        </w:rPr>
        <w:t xml:space="preserve"> võib </w:t>
      </w:r>
      <w:r>
        <w:rPr>
          <w:rFonts w:ascii="Times New Roman" w:hAnsi="Times New Roman"/>
          <w:bCs/>
          <w:lang w:val="et-EE"/>
        </w:rPr>
        <w:t>antud olukorras</w:t>
      </w:r>
      <w:r w:rsidRPr="007717F5">
        <w:rPr>
          <w:rFonts w:ascii="Times New Roman" w:hAnsi="Times New Roman"/>
          <w:bCs/>
          <w:lang w:val="et-EE"/>
        </w:rPr>
        <w:t xml:space="preserve"> lubada ka pensioni investeerimiskonto jääki ületada ehk kontol miinusesse minna ja sellelt viivis</w:t>
      </w:r>
      <w:r>
        <w:rPr>
          <w:rFonts w:ascii="Times New Roman" w:hAnsi="Times New Roman"/>
          <w:bCs/>
          <w:lang w:val="et-EE"/>
        </w:rPr>
        <w:t>t</w:t>
      </w:r>
      <w:r w:rsidRPr="007717F5">
        <w:rPr>
          <w:rFonts w:ascii="Times New Roman" w:hAnsi="Times New Roman"/>
          <w:bCs/>
          <w:lang w:val="et-EE"/>
        </w:rPr>
        <w:t xml:space="preserve"> arvestada. </w:t>
      </w:r>
      <w:r>
        <w:rPr>
          <w:rFonts w:ascii="Times New Roman" w:hAnsi="Times New Roman"/>
          <w:bCs/>
          <w:lang w:val="et-EE"/>
        </w:rPr>
        <w:t>Praktikas võib s</w:t>
      </w:r>
      <w:r w:rsidRPr="007717F5">
        <w:rPr>
          <w:rFonts w:ascii="Times New Roman" w:hAnsi="Times New Roman"/>
          <w:bCs/>
          <w:lang w:val="et-EE"/>
        </w:rPr>
        <w:t xml:space="preserve">elline olukord </w:t>
      </w:r>
      <w:r>
        <w:rPr>
          <w:rFonts w:ascii="Times New Roman" w:hAnsi="Times New Roman"/>
          <w:bCs/>
          <w:lang w:val="et-EE"/>
        </w:rPr>
        <w:t>esile kerkida</w:t>
      </w:r>
      <w:r w:rsidRPr="007717F5">
        <w:rPr>
          <w:rFonts w:ascii="Times New Roman" w:hAnsi="Times New Roman"/>
          <w:bCs/>
          <w:lang w:val="et-EE"/>
        </w:rPr>
        <w:t xml:space="preserve">, kui </w:t>
      </w:r>
      <w:r>
        <w:rPr>
          <w:rFonts w:ascii="Times New Roman" w:hAnsi="Times New Roman"/>
          <w:bCs/>
          <w:lang w:val="et-EE"/>
        </w:rPr>
        <w:t>pensioni investeerimiskonto</w:t>
      </w:r>
      <w:r w:rsidRPr="007717F5">
        <w:rPr>
          <w:rFonts w:ascii="Times New Roman" w:hAnsi="Times New Roman"/>
          <w:bCs/>
          <w:lang w:val="et-EE"/>
        </w:rPr>
        <w:t xml:space="preserve"> kaudu on tehtud investeeringuid, mida ei ole majanduslikult mõistlik kohe realiseerima asuda, </w:t>
      </w:r>
      <w:r>
        <w:rPr>
          <w:rFonts w:ascii="Times New Roman" w:hAnsi="Times New Roman"/>
          <w:bCs/>
          <w:lang w:val="et-EE"/>
        </w:rPr>
        <w:t xml:space="preserve">ja samal ajal on </w:t>
      </w:r>
      <w:r w:rsidRPr="007717F5">
        <w:rPr>
          <w:rFonts w:ascii="Times New Roman" w:hAnsi="Times New Roman"/>
          <w:bCs/>
          <w:lang w:val="et-EE"/>
        </w:rPr>
        <w:t xml:space="preserve">ette näha hilisem raha laekumine pensioni investeerimiskontole. Kontojäägi ületamine ei ole siinkohal </w:t>
      </w:r>
      <w:r>
        <w:rPr>
          <w:rFonts w:ascii="Times New Roman" w:hAnsi="Times New Roman"/>
          <w:bCs/>
          <w:lang w:val="et-EE"/>
        </w:rPr>
        <w:t xml:space="preserve">siiski </w:t>
      </w:r>
      <w:r w:rsidRPr="007717F5">
        <w:rPr>
          <w:rFonts w:ascii="Times New Roman" w:hAnsi="Times New Roman"/>
          <w:bCs/>
          <w:lang w:val="et-EE"/>
        </w:rPr>
        <w:t xml:space="preserve">vaadeldav arvelduskrediidi andmisena, </w:t>
      </w:r>
      <w:r>
        <w:rPr>
          <w:rFonts w:ascii="Times New Roman" w:hAnsi="Times New Roman"/>
          <w:bCs/>
          <w:lang w:val="et-EE"/>
        </w:rPr>
        <w:t xml:space="preserve">sest sellise situatsiooni tekkimine on harv või </w:t>
      </w:r>
      <w:r w:rsidRPr="007717F5">
        <w:rPr>
          <w:rFonts w:ascii="Times New Roman" w:hAnsi="Times New Roman"/>
          <w:bCs/>
          <w:lang w:val="et-EE"/>
        </w:rPr>
        <w:t>juhuslik ega kätke endas krediidiasutuse soovi krediiti</w:t>
      </w:r>
      <w:r>
        <w:rPr>
          <w:rFonts w:ascii="Times New Roman" w:hAnsi="Times New Roman"/>
          <w:bCs/>
          <w:lang w:val="et-EE"/>
        </w:rPr>
        <w:t xml:space="preserve"> anda või</w:t>
      </w:r>
      <w:r w:rsidRPr="007717F5">
        <w:rPr>
          <w:rFonts w:ascii="Times New Roman" w:hAnsi="Times New Roman"/>
          <w:bCs/>
          <w:lang w:val="et-EE"/>
        </w:rPr>
        <w:t xml:space="preserve"> selliselt krediidilt teenida.</w:t>
      </w:r>
    </w:p>
    <w:p w14:paraId="3A05D525" w14:textId="3E438840" w:rsidR="006214E5" w:rsidRDefault="007717F5" w:rsidP="00D32BED">
      <w:pPr>
        <w:shd w:val="clear" w:color="auto" w:fill="FFFFFF"/>
        <w:jc w:val="both"/>
        <w:rPr>
          <w:rFonts w:ascii="Times New Roman" w:hAnsi="Times New Roman"/>
          <w:b/>
          <w:lang w:val="et-EE"/>
        </w:rPr>
      </w:pPr>
      <w:r>
        <w:rPr>
          <w:rFonts w:ascii="Times New Roman" w:hAnsi="Times New Roman"/>
          <w:b/>
          <w:lang w:val="et-EE"/>
        </w:rPr>
        <w:t xml:space="preserve"> </w:t>
      </w:r>
    </w:p>
    <w:p w14:paraId="65DDE793" w14:textId="77777777" w:rsidR="00AC7D30" w:rsidRDefault="007717F5" w:rsidP="00D32BED">
      <w:pPr>
        <w:jc w:val="both"/>
        <w:rPr>
          <w:rFonts w:ascii="Times New Roman" w:hAnsi="Times New Roman"/>
          <w:lang w:val="et-EE"/>
        </w:rPr>
      </w:pPr>
      <w:r w:rsidRPr="007717F5">
        <w:rPr>
          <w:rFonts w:ascii="Times New Roman" w:hAnsi="Times New Roman"/>
          <w:b/>
          <w:bCs/>
          <w:lang w:val="et-EE"/>
        </w:rPr>
        <w:t>KoPS § 17</w:t>
      </w:r>
      <w:r w:rsidR="00A74A3E" w:rsidRPr="007717F5">
        <w:rPr>
          <w:rFonts w:ascii="Times New Roman" w:hAnsi="Times New Roman"/>
          <w:b/>
          <w:bCs/>
          <w:vertAlign w:val="superscript"/>
          <w:lang w:val="et-EE"/>
        </w:rPr>
        <w:t>1</w:t>
      </w:r>
      <w:r w:rsidR="00A74A3E" w:rsidRPr="007717F5">
        <w:rPr>
          <w:rFonts w:ascii="Times New Roman" w:hAnsi="Times New Roman"/>
          <w:b/>
          <w:bCs/>
          <w:lang w:val="et-EE"/>
        </w:rPr>
        <w:t xml:space="preserve"> lõi</w:t>
      </w:r>
      <w:r w:rsidRPr="007717F5">
        <w:rPr>
          <w:rFonts w:ascii="Times New Roman" w:hAnsi="Times New Roman"/>
          <w:b/>
          <w:bCs/>
          <w:lang w:val="et-EE"/>
        </w:rPr>
        <w:t>ked</w:t>
      </w:r>
      <w:r w:rsidR="00AC7D30">
        <w:rPr>
          <w:rFonts w:ascii="Times New Roman" w:hAnsi="Times New Roman"/>
          <w:b/>
          <w:bCs/>
          <w:lang w:val="et-EE"/>
        </w:rPr>
        <w:t xml:space="preserve"> 2</w:t>
      </w:r>
      <w:r w:rsidR="00AC7D30">
        <w:rPr>
          <w:rFonts w:ascii="Times New Roman" w:hAnsi="Times New Roman"/>
          <w:b/>
          <w:bCs/>
          <w:vertAlign w:val="superscript"/>
          <w:lang w:val="et-EE"/>
        </w:rPr>
        <w:t>1</w:t>
      </w:r>
      <w:r w:rsidR="00AC7D30">
        <w:rPr>
          <w:rFonts w:ascii="Times New Roman" w:hAnsi="Times New Roman"/>
          <w:b/>
          <w:bCs/>
          <w:lang w:val="et-EE"/>
        </w:rPr>
        <w:t xml:space="preserve"> ja</w:t>
      </w:r>
      <w:r w:rsidR="00A74A3E" w:rsidRPr="007717F5">
        <w:rPr>
          <w:rFonts w:ascii="Times New Roman" w:hAnsi="Times New Roman"/>
          <w:b/>
          <w:bCs/>
          <w:lang w:val="et-EE"/>
        </w:rPr>
        <w:t xml:space="preserve"> 4–6</w:t>
      </w:r>
      <w:r w:rsidRPr="007717F5">
        <w:rPr>
          <w:rFonts w:ascii="Times New Roman" w:hAnsi="Times New Roman"/>
          <w:b/>
          <w:bCs/>
          <w:lang w:val="et-EE"/>
        </w:rPr>
        <w:t xml:space="preserve">. </w:t>
      </w:r>
      <w:r w:rsidR="00803828" w:rsidRPr="00803828">
        <w:rPr>
          <w:rFonts w:ascii="Times New Roman" w:hAnsi="Times New Roman"/>
          <w:lang w:val="et-EE"/>
        </w:rPr>
        <w:t>Paragrahv reguleerib pensioni investeerimiskonto avamist ja sulgemist.</w:t>
      </w:r>
      <w:r w:rsidR="00803828">
        <w:rPr>
          <w:rFonts w:ascii="Times New Roman" w:hAnsi="Times New Roman"/>
          <w:lang w:val="et-EE"/>
        </w:rPr>
        <w:t xml:space="preserve"> Konto avamiseks tuleb sõlmida vastav leping krediidiasutusega. Pensioni investeerimiskonto sulgemine eeldab, et </w:t>
      </w:r>
      <w:r w:rsidR="00803828" w:rsidRPr="00803828">
        <w:rPr>
          <w:rFonts w:ascii="Times New Roman" w:hAnsi="Times New Roman"/>
          <w:lang w:val="et-EE"/>
        </w:rPr>
        <w:t xml:space="preserve">selle </w:t>
      </w:r>
      <w:r w:rsidR="00803828">
        <w:rPr>
          <w:rFonts w:ascii="Times New Roman" w:hAnsi="Times New Roman"/>
          <w:lang w:val="et-EE"/>
        </w:rPr>
        <w:t xml:space="preserve">konto </w:t>
      </w:r>
      <w:r w:rsidR="00803828" w:rsidRPr="00803828">
        <w:rPr>
          <w:rFonts w:ascii="Times New Roman" w:hAnsi="Times New Roman"/>
          <w:lang w:val="et-EE"/>
        </w:rPr>
        <w:t>kaudu soetatud finantsvara on võõrandatud, sealhulgas finantsvara soetamisel sõlmitud lepingud lõppenud, ja kogu kontol olnud raha on kantud kohustatud isiku teisele pensioni investeerimiskontole, seda on kasutatud pensionifondi osakute omandamiseks või pensionilepingu sõlmimiseks või see on kohustatud isikule välja makstud.</w:t>
      </w:r>
      <w:r w:rsidR="00803828">
        <w:rPr>
          <w:rFonts w:ascii="Times New Roman" w:hAnsi="Times New Roman"/>
          <w:lang w:val="et-EE"/>
        </w:rPr>
        <w:t xml:space="preserve"> </w:t>
      </w:r>
    </w:p>
    <w:p w14:paraId="3039253D" w14:textId="77777777" w:rsidR="00AC7D30" w:rsidRDefault="00AC7D30" w:rsidP="00D32BED">
      <w:pPr>
        <w:jc w:val="both"/>
        <w:rPr>
          <w:rFonts w:ascii="Times New Roman" w:hAnsi="Times New Roman"/>
          <w:lang w:val="et-EE"/>
        </w:rPr>
      </w:pPr>
    </w:p>
    <w:p w14:paraId="650A7B2F" w14:textId="1361223F" w:rsidR="000C6D00" w:rsidRPr="000C6D00" w:rsidRDefault="000C6D00" w:rsidP="000C6D00">
      <w:pPr>
        <w:widowControl w:val="0"/>
        <w:tabs>
          <w:tab w:val="left" w:pos="1560"/>
        </w:tabs>
        <w:autoSpaceDE w:val="0"/>
        <w:autoSpaceDN w:val="0"/>
        <w:adjustRightInd w:val="0"/>
        <w:jc w:val="both"/>
        <w:rPr>
          <w:rFonts w:ascii="Times New Roman" w:hAnsi="Times New Roman"/>
          <w:lang w:val="et-EE"/>
        </w:rPr>
      </w:pPr>
      <w:r w:rsidRPr="000C6D00">
        <w:rPr>
          <w:rFonts w:ascii="Times New Roman" w:hAnsi="Times New Roman"/>
          <w:u w:val="single"/>
          <w:lang w:val="et-EE"/>
        </w:rPr>
        <w:t>Lõikega 2</w:t>
      </w:r>
      <w:r w:rsidRPr="000C6D00">
        <w:rPr>
          <w:rFonts w:ascii="Times New Roman" w:hAnsi="Times New Roman"/>
          <w:u w:val="single"/>
          <w:vertAlign w:val="superscript"/>
          <w:lang w:val="et-EE"/>
        </w:rPr>
        <w:t>1</w:t>
      </w:r>
      <w:r>
        <w:rPr>
          <w:rFonts w:ascii="Times New Roman" w:hAnsi="Times New Roman"/>
          <w:lang w:val="et-EE"/>
        </w:rPr>
        <w:t xml:space="preserve"> antakse</w:t>
      </w:r>
      <w:r w:rsidRPr="000C6D00">
        <w:rPr>
          <w:rFonts w:ascii="Times New Roman" w:hAnsi="Times New Roman"/>
          <w:lang w:val="et-EE"/>
        </w:rPr>
        <w:t xml:space="preserve"> võimalus nö võõrandamiskõlbmatute väärtpaberite ümberregistreerimiseks tavalisele väärtpaberikontole. Seda oleks lubatud teha</w:t>
      </w:r>
      <w:r>
        <w:rPr>
          <w:rFonts w:ascii="Times New Roman" w:hAnsi="Times New Roman"/>
          <w:lang w:val="et-EE"/>
        </w:rPr>
        <w:t xml:space="preserve"> pensioni investeerimiskonto sulgemiseks ja vaid juhul</w:t>
      </w:r>
      <w:r w:rsidRPr="000C6D00">
        <w:rPr>
          <w:rFonts w:ascii="Times New Roman" w:hAnsi="Times New Roman"/>
          <w:lang w:val="et-EE"/>
        </w:rPr>
        <w:t>, kui väärtpaberiga kauplemine on kauplemiskoha poolt lõpetatud või kui KoPS § 52</w:t>
      </w:r>
      <w:r w:rsidRPr="000C6D00">
        <w:rPr>
          <w:rFonts w:ascii="Times New Roman" w:hAnsi="Times New Roman"/>
          <w:vertAlign w:val="superscript"/>
          <w:lang w:val="et-EE"/>
        </w:rPr>
        <w:t>6</w:t>
      </w:r>
      <w:r w:rsidRPr="000C6D00">
        <w:rPr>
          <w:rFonts w:ascii="Times New Roman" w:hAnsi="Times New Roman"/>
          <w:lang w:val="et-EE"/>
        </w:rPr>
        <w:t xml:space="preserve"> lõike 6 </w:t>
      </w:r>
      <w:r>
        <w:rPr>
          <w:rFonts w:ascii="Times New Roman" w:hAnsi="Times New Roman"/>
          <w:lang w:val="et-EE"/>
        </w:rPr>
        <w:t xml:space="preserve">esimeses lauses </w:t>
      </w:r>
      <w:r w:rsidRPr="000C6D00">
        <w:rPr>
          <w:rFonts w:ascii="Times New Roman" w:hAnsi="Times New Roman"/>
          <w:lang w:val="et-EE"/>
        </w:rPr>
        <w:t xml:space="preserve">sätestatud menetluse või režiimi lõppemise järel ei ole pensioni investeerimiskonto kaudu soetatud väärtpaberite võõrandamine endiselt võimalik. Kui isikul on samas krediidiasutuses avatud teine, nö tavaline väärtpaberikonto, saab krediidiasutus korraldada nende väärtpaberite ümberregistreerimise sellele kontole. II samba mõistes on nende </w:t>
      </w:r>
      <w:r w:rsidRPr="000C6D00">
        <w:rPr>
          <w:rFonts w:ascii="Times New Roman" w:hAnsi="Times New Roman"/>
          <w:lang w:val="et-EE"/>
        </w:rPr>
        <w:lastRenderedPageBreak/>
        <w:t>väärtpaberite väärtus hinnatud nulli ja on äärmiselt ebatõenäoline, et neid väärtpabereid ka tulevikus võõrandada õnnestub.</w:t>
      </w:r>
      <w:r>
        <w:rPr>
          <w:rFonts w:ascii="Times New Roman" w:hAnsi="Times New Roman"/>
          <w:lang w:val="et-EE"/>
        </w:rPr>
        <w:t xml:space="preserve"> Vt ka KoPS § 52</w:t>
      </w:r>
      <w:r>
        <w:rPr>
          <w:rFonts w:ascii="Times New Roman" w:hAnsi="Times New Roman"/>
          <w:vertAlign w:val="superscript"/>
          <w:lang w:val="et-EE"/>
        </w:rPr>
        <w:t>6</w:t>
      </w:r>
      <w:r>
        <w:rPr>
          <w:rFonts w:ascii="Times New Roman" w:hAnsi="Times New Roman"/>
          <w:lang w:val="et-EE"/>
        </w:rPr>
        <w:t xml:space="preserve"> lõike 6 esimese lause muutmise selgitust.</w:t>
      </w:r>
    </w:p>
    <w:p w14:paraId="3B33BC2B" w14:textId="77777777" w:rsidR="00AC7D30" w:rsidRPr="00AC7D30" w:rsidRDefault="00AC7D30" w:rsidP="00D32BED">
      <w:pPr>
        <w:jc w:val="both"/>
        <w:rPr>
          <w:rFonts w:ascii="Times New Roman" w:hAnsi="Times New Roman"/>
          <w:lang w:val="et-EE"/>
        </w:rPr>
      </w:pPr>
    </w:p>
    <w:p w14:paraId="0033E45D" w14:textId="2065C7BB" w:rsidR="00803828" w:rsidRPr="00803828" w:rsidRDefault="00803828" w:rsidP="00D32BED">
      <w:pPr>
        <w:jc w:val="both"/>
        <w:rPr>
          <w:rFonts w:ascii="Times New Roman" w:hAnsi="Times New Roman"/>
          <w:lang w:val="et-EE"/>
        </w:rPr>
      </w:pPr>
      <w:r>
        <w:rPr>
          <w:rFonts w:ascii="Times New Roman" w:hAnsi="Times New Roman"/>
          <w:lang w:val="et-EE"/>
        </w:rPr>
        <w:t>Üldreeglina eelda</w:t>
      </w:r>
      <w:r w:rsidR="00AC7D30">
        <w:rPr>
          <w:rFonts w:ascii="Times New Roman" w:hAnsi="Times New Roman"/>
          <w:lang w:val="et-EE"/>
        </w:rPr>
        <w:t>b</w:t>
      </w:r>
      <w:r>
        <w:rPr>
          <w:rFonts w:ascii="Times New Roman" w:hAnsi="Times New Roman"/>
          <w:lang w:val="et-EE"/>
        </w:rPr>
        <w:t xml:space="preserve"> </w:t>
      </w:r>
      <w:r w:rsidR="00AC7D30">
        <w:rPr>
          <w:rFonts w:ascii="Times New Roman" w:hAnsi="Times New Roman"/>
          <w:lang w:val="et-EE"/>
        </w:rPr>
        <w:t xml:space="preserve">pensioni investeerimiskonto sulgemine </w:t>
      </w:r>
      <w:r>
        <w:rPr>
          <w:rFonts w:ascii="Times New Roman" w:hAnsi="Times New Roman"/>
          <w:lang w:val="et-EE"/>
        </w:rPr>
        <w:t xml:space="preserve">ka, et kohustatud isik on esitanud valikuavalduse </w:t>
      </w:r>
      <w:r w:rsidRPr="00803828">
        <w:rPr>
          <w:rFonts w:ascii="Times New Roman" w:hAnsi="Times New Roman"/>
          <w:lang w:val="et-EE"/>
        </w:rPr>
        <w:t>sissemaksete tegemiseks</w:t>
      </w:r>
      <w:r>
        <w:rPr>
          <w:rFonts w:ascii="Times New Roman" w:hAnsi="Times New Roman"/>
          <w:lang w:val="et-EE"/>
        </w:rPr>
        <w:t xml:space="preserve"> edaspidi</w:t>
      </w:r>
      <w:r w:rsidRPr="00803828">
        <w:rPr>
          <w:rFonts w:ascii="Times New Roman" w:hAnsi="Times New Roman"/>
          <w:lang w:val="et-EE"/>
        </w:rPr>
        <w:t xml:space="preserve"> pensionifondi või oma teisele pensioni investeerimiskontole</w:t>
      </w:r>
      <w:r>
        <w:rPr>
          <w:rFonts w:ascii="Times New Roman" w:hAnsi="Times New Roman"/>
          <w:lang w:val="et-EE"/>
        </w:rPr>
        <w:t xml:space="preserve"> (ühel isikul võib pensioni investeerimiskontosid olla mitu). Erandiks (valikuavalduse esitamise nõude suhtes) on siinkohal vaid olukorrad, kus isik on läinud II sambast pensionile ja talle </w:t>
      </w:r>
      <w:r w:rsidRPr="00803828">
        <w:rPr>
          <w:rFonts w:ascii="Times New Roman" w:hAnsi="Times New Roman"/>
          <w:lang w:val="et-EE"/>
        </w:rPr>
        <w:t xml:space="preserve">ühekordse väljamakse tegemiseks või </w:t>
      </w:r>
      <w:r>
        <w:rPr>
          <w:rFonts w:ascii="Times New Roman" w:hAnsi="Times New Roman"/>
          <w:lang w:val="et-EE"/>
        </w:rPr>
        <w:t xml:space="preserve">tema </w:t>
      </w:r>
      <w:r w:rsidRPr="00803828">
        <w:rPr>
          <w:rFonts w:ascii="Times New Roman" w:hAnsi="Times New Roman"/>
          <w:lang w:val="et-EE"/>
        </w:rPr>
        <w:t xml:space="preserve">sõlmitud pensionilepingu kindlustusmakse tasumiseks on </w:t>
      </w:r>
      <w:r>
        <w:rPr>
          <w:rFonts w:ascii="Times New Roman" w:hAnsi="Times New Roman"/>
          <w:lang w:val="et-EE"/>
        </w:rPr>
        <w:t xml:space="preserve">kasutatud kogu raha, mis tal II sambasse kogutud oli (st </w:t>
      </w:r>
      <w:r w:rsidRPr="00803828">
        <w:rPr>
          <w:rFonts w:ascii="Times New Roman" w:hAnsi="Times New Roman"/>
          <w:lang w:val="et-EE"/>
        </w:rPr>
        <w:t>tagasi</w:t>
      </w:r>
      <w:r>
        <w:rPr>
          <w:rFonts w:ascii="Times New Roman" w:hAnsi="Times New Roman"/>
          <w:lang w:val="et-EE"/>
        </w:rPr>
        <w:t xml:space="preserve"> võeti kõik</w:t>
      </w:r>
      <w:r w:rsidRPr="00803828">
        <w:rPr>
          <w:rFonts w:ascii="Times New Roman" w:hAnsi="Times New Roman"/>
          <w:lang w:val="et-EE"/>
        </w:rPr>
        <w:t xml:space="preserve"> temale kuulunud pensionifondide osakud ja kasutat</w:t>
      </w:r>
      <w:r>
        <w:rPr>
          <w:rFonts w:ascii="Times New Roman" w:hAnsi="Times New Roman"/>
          <w:lang w:val="et-EE"/>
        </w:rPr>
        <w:t>i</w:t>
      </w:r>
      <w:r w:rsidRPr="00803828">
        <w:rPr>
          <w:rFonts w:ascii="Times New Roman" w:hAnsi="Times New Roman"/>
          <w:lang w:val="et-EE"/>
        </w:rPr>
        <w:t xml:space="preserve"> kõigil tema pensioni investeerimiskontodel olevaid summasid</w:t>
      </w:r>
      <w:r>
        <w:rPr>
          <w:rFonts w:ascii="Times New Roman" w:hAnsi="Times New Roman"/>
          <w:lang w:val="et-EE"/>
        </w:rPr>
        <w:t xml:space="preserve">) või kui </w:t>
      </w:r>
      <w:r w:rsidRPr="00803828">
        <w:rPr>
          <w:rFonts w:ascii="Times New Roman" w:hAnsi="Times New Roman"/>
          <w:lang w:val="et-EE"/>
        </w:rPr>
        <w:t>isi</w:t>
      </w:r>
      <w:r>
        <w:rPr>
          <w:rFonts w:ascii="Times New Roman" w:hAnsi="Times New Roman"/>
          <w:lang w:val="et-EE"/>
        </w:rPr>
        <w:t xml:space="preserve">k on II sambast lahkunud ja võtnud kogutud raha välja ega ole II sambaga uuesti veel liitunud.  </w:t>
      </w:r>
    </w:p>
    <w:p w14:paraId="2C1F808F" w14:textId="604584BD" w:rsidR="00A74A3E" w:rsidRDefault="00A74A3E" w:rsidP="00D32BED">
      <w:pPr>
        <w:jc w:val="both"/>
        <w:rPr>
          <w:rFonts w:ascii="Times New Roman" w:hAnsi="Times New Roman"/>
          <w:lang w:val="et-EE"/>
        </w:rPr>
      </w:pPr>
    </w:p>
    <w:p w14:paraId="14472C37" w14:textId="1444FF54" w:rsidR="009C4683" w:rsidRPr="009C4683" w:rsidRDefault="009C4683" w:rsidP="00D32BED">
      <w:pPr>
        <w:jc w:val="both"/>
        <w:rPr>
          <w:rFonts w:ascii="Times New Roman" w:hAnsi="Times New Roman"/>
          <w:lang w:val="et-EE"/>
        </w:rPr>
      </w:pPr>
      <w:r>
        <w:rPr>
          <w:rFonts w:ascii="Times New Roman" w:hAnsi="Times New Roman"/>
          <w:lang w:val="et-EE"/>
        </w:rPr>
        <w:t>Vaatamata pensioni investeerimiskonto sulgemise eelduseks olevatele tingimustele võib praktikas siiski ette tulla olukordi, kus konto on juba suletud, kuid tekivad hilisemad laekumised – isikule laekub täiendavat tulu või isik omandab finantsvara, mis oleks vaja registreerida pensioni investeerimiskontoga seotud väärtpaberikontol.</w:t>
      </w:r>
      <w:r w:rsidRPr="009C4683">
        <w:rPr>
          <w:rFonts w:ascii="Times New Roman" w:hAnsi="Times New Roman"/>
          <w:lang w:val="et-EE"/>
        </w:rPr>
        <w:t xml:space="preserve"> Mõeldud on siinkohal nii võimalikke hiliseid intressi- või dividendilaekumisi, aga ka näiteks hiljem aset leidvat täiendavat emissiooni, kus lastakse välja täiendavaid väärtpabereid, mida </w:t>
      </w:r>
      <w:r>
        <w:rPr>
          <w:rFonts w:ascii="Times New Roman" w:hAnsi="Times New Roman"/>
          <w:lang w:val="et-EE"/>
        </w:rPr>
        <w:t>pensioni investeerimiskonto</w:t>
      </w:r>
      <w:r w:rsidRPr="009C4683">
        <w:rPr>
          <w:rFonts w:ascii="Times New Roman" w:hAnsi="Times New Roman"/>
          <w:lang w:val="et-EE"/>
        </w:rPr>
        <w:t xml:space="preserve"> sulgemise tõttu ei ole võimalik sellega seotud väärtpaberikontol enam registreerida. </w:t>
      </w:r>
      <w:r>
        <w:rPr>
          <w:rFonts w:ascii="Times New Roman" w:hAnsi="Times New Roman"/>
          <w:lang w:val="et-EE"/>
        </w:rPr>
        <w:t>Selliste olukordade lahendamiseks lisatakse KoPS § 17</w:t>
      </w:r>
      <w:r>
        <w:rPr>
          <w:rFonts w:ascii="Times New Roman" w:hAnsi="Times New Roman"/>
          <w:vertAlign w:val="superscript"/>
          <w:lang w:val="et-EE"/>
        </w:rPr>
        <w:t>1</w:t>
      </w:r>
      <w:r>
        <w:rPr>
          <w:rFonts w:ascii="Times New Roman" w:hAnsi="Times New Roman"/>
          <w:lang w:val="et-EE"/>
        </w:rPr>
        <w:t xml:space="preserve"> uued lõiked. </w:t>
      </w:r>
    </w:p>
    <w:p w14:paraId="5B0DF9F5" w14:textId="77777777" w:rsidR="009C4683" w:rsidRDefault="009C4683" w:rsidP="00D32BED">
      <w:pPr>
        <w:jc w:val="both"/>
        <w:rPr>
          <w:rFonts w:ascii="Times New Roman" w:hAnsi="Times New Roman"/>
          <w:lang w:val="et-EE"/>
        </w:rPr>
      </w:pPr>
    </w:p>
    <w:p w14:paraId="6406F426" w14:textId="6E0400D4" w:rsidR="008E6FFD" w:rsidRDefault="008E6FFD" w:rsidP="00D32BED">
      <w:pPr>
        <w:jc w:val="both"/>
        <w:rPr>
          <w:rFonts w:ascii="Times New Roman" w:hAnsi="Times New Roman"/>
          <w:lang w:val="et-EE"/>
        </w:rPr>
      </w:pPr>
      <w:r w:rsidRPr="008E6FFD">
        <w:rPr>
          <w:rFonts w:ascii="Times New Roman" w:hAnsi="Times New Roman"/>
          <w:u w:val="single"/>
          <w:lang w:val="et-EE"/>
        </w:rPr>
        <w:t>Lõikes 4</w:t>
      </w:r>
      <w:r>
        <w:rPr>
          <w:rFonts w:ascii="Times New Roman" w:hAnsi="Times New Roman"/>
          <w:lang w:val="et-EE"/>
        </w:rPr>
        <w:t xml:space="preserve"> sätestatakse, et k</w:t>
      </w:r>
      <w:r w:rsidRPr="007717F5">
        <w:rPr>
          <w:rFonts w:ascii="Times New Roman" w:hAnsi="Times New Roman"/>
          <w:lang w:val="et-EE"/>
        </w:rPr>
        <w:t xml:space="preserve">ui pärast pensioni investeerimiskonto sulgemist laekub tulu selle konto kaudu varem soetatud finantsvaralt, kannab krediidiasutus selle registripidajale. </w:t>
      </w:r>
      <w:r>
        <w:rPr>
          <w:rFonts w:ascii="Times New Roman" w:hAnsi="Times New Roman"/>
          <w:lang w:val="et-EE"/>
        </w:rPr>
        <w:t>Samuti sätestatakse, et k</w:t>
      </w:r>
      <w:r w:rsidRPr="007717F5">
        <w:rPr>
          <w:rFonts w:ascii="Times New Roman" w:hAnsi="Times New Roman"/>
          <w:lang w:val="et-EE"/>
        </w:rPr>
        <w:t xml:space="preserve">ui isik omandab pärast pensioni investeerimiskonto sulgemist finantsvara, mis tuleks registreerida nimetatud pensioni investeerimiskontoga seotud väärtpaberikontol, on krediidiasutusel õigus nimetatud finantsvara võõrandada ja kanda selle tulemusel saadud summa </w:t>
      </w:r>
      <w:r>
        <w:rPr>
          <w:rFonts w:ascii="Times New Roman" w:hAnsi="Times New Roman"/>
          <w:lang w:val="et-EE"/>
        </w:rPr>
        <w:t xml:space="preserve">samuti üle </w:t>
      </w:r>
      <w:r w:rsidRPr="007717F5">
        <w:rPr>
          <w:rFonts w:ascii="Times New Roman" w:hAnsi="Times New Roman"/>
          <w:lang w:val="et-EE"/>
        </w:rPr>
        <w:t>registripidajale.</w:t>
      </w:r>
      <w:r>
        <w:rPr>
          <w:rFonts w:ascii="Times New Roman" w:hAnsi="Times New Roman"/>
          <w:lang w:val="et-EE"/>
        </w:rPr>
        <w:t xml:space="preserve"> Kuivõrd pensioni investeerimiskonto on suletud, et saa hilisemad laekumised sellele kontole minna.  </w:t>
      </w:r>
    </w:p>
    <w:p w14:paraId="71C6C907" w14:textId="77777777" w:rsidR="008E6FFD" w:rsidRDefault="008E6FFD" w:rsidP="00D32BED">
      <w:pPr>
        <w:jc w:val="both"/>
        <w:rPr>
          <w:rFonts w:ascii="Times New Roman" w:hAnsi="Times New Roman"/>
          <w:lang w:val="et-EE"/>
        </w:rPr>
      </w:pPr>
    </w:p>
    <w:p w14:paraId="6602273E" w14:textId="4F993919" w:rsidR="009C4683" w:rsidRPr="00803828" w:rsidRDefault="008E6FFD" w:rsidP="00D32BED">
      <w:pPr>
        <w:jc w:val="both"/>
        <w:rPr>
          <w:rFonts w:ascii="Times New Roman" w:hAnsi="Times New Roman"/>
          <w:lang w:val="et-EE"/>
        </w:rPr>
      </w:pPr>
      <w:r w:rsidRPr="00726CD2">
        <w:rPr>
          <w:rFonts w:ascii="Times New Roman" w:hAnsi="Times New Roman"/>
          <w:u w:val="single"/>
          <w:lang w:val="et-EE"/>
        </w:rPr>
        <w:t>Lõikes 5</w:t>
      </w:r>
      <w:r>
        <w:rPr>
          <w:rFonts w:ascii="Times New Roman" w:hAnsi="Times New Roman"/>
          <w:lang w:val="et-EE"/>
        </w:rPr>
        <w:t xml:space="preserve"> täpsustatakse omakorda, kuidas tuleb käituda registripidajal, kui krediidiasutuselt sellised summad laekuvad.</w:t>
      </w:r>
      <w:r w:rsidR="00726CD2">
        <w:rPr>
          <w:rFonts w:ascii="Times New Roman" w:hAnsi="Times New Roman"/>
          <w:lang w:val="et-EE"/>
        </w:rPr>
        <w:t xml:space="preserve"> </w:t>
      </w:r>
      <w:r w:rsidR="009C4683" w:rsidRPr="009C4683">
        <w:rPr>
          <w:rFonts w:ascii="Times New Roman" w:hAnsi="Times New Roman"/>
          <w:lang w:val="et-EE"/>
        </w:rPr>
        <w:t xml:space="preserve">Kui isikule on juba tehtud II sambast väljamakse, siis võimaldab </w:t>
      </w:r>
      <w:r w:rsidR="00726CD2">
        <w:rPr>
          <w:rFonts w:ascii="Times New Roman" w:hAnsi="Times New Roman"/>
          <w:lang w:val="et-EE"/>
        </w:rPr>
        <w:t>muudatus</w:t>
      </w:r>
      <w:r w:rsidR="009C4683" w:rsidRPr="009C4683">
        <w:rPr>
          <w:rFonts w:ascii="Times New Roman" w:hAnsi="Times New Roman"/>
          <w:lang w:val="et-EE"/>
        </w:rPr>
        <w:t xml:space="preserve"> Pensionikeskusel ka sell</w:t>
      </w:r>
      <w:r w:rsidR="00726CD2">
        <w:rPr>
          <w:rFonts w:ascii="Times New Roman" w:hAnsi="Times New Roman"/>
          <w:lang w:val="et-EE"/>
        </w:rPr>
        <w:t>e</w:t>
      </w:r>
      <w:r w:rsidR="009C4683" w:rsidRPr="009C4683">
        <w:rPr>
          <w:rFonts w:ascii="Times New Roman" w:hAnsi="Times New Roman"/>
          <w:lang w:val="et-EE"/>
        </w:rPr>
        <w:t xml:space="preserve"> </w:t>
      </w:r>
      <w:r w:rsidR="00726CD2">
        <w:rPr>
          <w:rFonts w:ascii="Times New Roman" w:hAnsi="Times New Roman"/>
          <w:lang w:val="et-EE"/>
        </w:rPr>
        <w:t>krediidiasutuselt</w:t>
      </w:r>
      <w:r w:rsidR="009C4683" w:rsidRPr="009C4683">
        <w:rPr>
          <w:rFonts w:ascii="Times New Roman" w:hAnsi="Times New Roman"/>
          <w:lang w:val="et-EE"/>
        </w:rPr>
        <w:t xml:space="preserve"> hiljem laekunud raha isikule välja maksta. Seda juhul, kui ta oli kasutanud ühekordset väljamakset pensionieas, et võtta kogu oma II samba raha välja või oli II sambast lahkunud. Kui isik oli sõlminud pensioni saamiseks pensionilepingu elukindlustusseltsiga ja kasutanud selleks kogu oma II samba raha, kannab Pensionikeskus pangalt hiljem laekunud raha </w:t>
      </w:r>
      <w:r w:rsidR="00726CD2">
        <w:rPr>
          <w:rFonts w:ascii="Times New Roman" w:hAnsi="Times New Roman"/>
          <w:lang w:val="et-EE"/>
        </w:rPr>
        <w:t xml:space="preserve">lõike 5 kohaselt </w:t>
      </w:r>
      <w:r w:rsidR="009C4683" w:rsidRPr="009C4683">
        <w:rPr>
          <w:rFonts w:ascii="Times New Roman" w:hAnsi="Times New Roman"/>
          <w:lang w:val="et-EE"/>
        </w:rPr>
        <w:t xml:space="preserve">sellesse pensionilepingusse järgi. </w:t>
      </w:r>
      <w:r w:rsidR="009C4683">
        <w:rPr>
          <w:rFonts w:ascii="Times New Roman" w:hAnsi="Times New Roman"/>
          <w:lang w:val="et-EE"/>
        </w:rPr>
        <w:t xml:space="preserve"> </w:t>
      </w:r>
    </w:p>
    <w:p w14:paraId="2C460C19" w14:textId="4430436E" w:rsidR="00803828" w:rsidRDefault="00803828" w:rsidP="00D32BED">
      <w:pPr>
        <w:rPr>
          <w:rFonts w:ascii="Times New Roman" w:hAnsi="Times New Roman"/>
          <w:b/>
          <w:bCs/>
          <w:lang w:val="et-EE"/>
        </w:rPr>
      </w:pPr>
    </w:p>
    <w:p w14:paraId="6BA8B095" w14:textId="62ABE1A2" w:rsidR="00A74A3E" w:rsidRPr="007717F5" w:rsidRDefault="00726CD2" w:rsidP="00D32BED">
      <w:pPr>
        <w:jc w:val="both"/>
        <w:rPr>
          <w:rFonts w:ascii="Times New Roman" w:hAnsi="Times New Roman"/>
          <w:lang w:val="et-EE"/>
        </w:rPr>
      </w:pPr>
      <w:r w:rsidRPr="00726CD2">
        <w:rPr>
          <w:rFonts w:ascii="Times New Roman" w:hAnsi="Times New Roman"/>
          <w:lang w:val="et-EE"/>
        </w:rPr>
        <w:t xml:space="preserve">Seda, kuidas tuleb käituda muudes olukordades, reguleerib lisatav </w:t>
      </w:r>
      <w:r w:rsidRPr="00726CD2">
        <w:rPr>
          <w:rFonts w:ascii="Times New Roman" w:hAnsi="Times New Roman"/>
          <w:u w:val="single"/>
          <w:lang w:val="et-EE"/>
        </w:rPr>
        <w:t>lõige 6</w:t>
      </w:r>
      <w:r w:rsidRPr="00726CD2">
        <w:rPr>
          <w:rFonts w:ascii="Times New Roman" w:hAnsi="Times New Roman"/>
          <w:lang w:val="et-EE"/>
        </w:rPr>
        <w:t xml:space="preserve">. </w:t>
      </w:r>
      <w:r>
        <w:rPr>
          <w:rFonts w:ascii="Times New Roman" w:hAnsi="Times New Roman"/>
          <w:lang w:val="et-EE"/>
        </w:rPr>
        <w:t>Nimelt tuleb kõigil lõike 5 punktides 1–3 nimetamata juhtudel (</w:t>
      </w:r>
      <w:r w:rsidRPr="00726CD2">
        <w:rPr>
          <w:rFonts w:ascii="Times New Roman" w:hAnsi="Times New Roman"/>
          <w:lang w:val="et-EE"/>
        </w:rPr>
        <w:t>so kui on tehtud väljamakse vaid osa raha ulatuses või kui isik alles kogub pensionit</w:t>
      </w:r>
      <w:r>
        <w:rPr>
          <w:rFonts w:ascii="Times New Roman" w:hAnsi="Times New Roman"/>
          <w:lang w:val="et-EE"/>
        </w:rPr>
        <w:t>)</w:t>
      </w:r>
      <w:r w:rsidRPr="00726CD2">
        <w:rPr>
          <w:rFonts w:ascii="Times New Roman" w:hAnsi="Times New Roman"/>
          <w:lang w:val="et-EE"/>
        </w:rPr>
        <w:t xml:space="preserve"> </w:t>
      </w:r>
      <w:r>
        <w:rPr>
          <w:rFonts w:ascii="Times New Roman" w:hAnsi="Times New Roman"/>
          <w:lang w:val="et-EE"/>
        </w:rPr>
        <w:t xml:space="preserve">kanda krediidiasutuselt isiku pensionikontole laekunud summa sellesse pensionifondi, kuhu laekuvad või peaksid laekuma isiku kohustusliku kogumispensioni maksed, või juhul, kui tal on teine pensioni investeerimiskonto, millele maksed laekuvad või peaksid laekuma, siis sellele kontole. Teisisõnu käsitletakse </w:t>
      </w:r>
      <w:r w:rsidRPr="00726CD2">
        <w:rPr>
          <w:rFonts w:ascii="Times New Roman" w:hAnsi="Times New Roman"/>
          <w:lang w:val="et-EE"/>
        </w:rPr>
        <w:t>seda raha nagu kogumispensioni makset ja see liigub vastavalt isiku enda viimasele valikule, kas tema pensionifondi või tema pensioni investeerimiskontole.</w:t>
      </w:r>
    </w:p>
    <w:p w14:paraId="418B308D" w14:textId="76FBF1EB" w:rsidR="00A74A3E" w:rsidRDefault="00A74A3E" w:rsidP="00D32BED">
      <w:pPr>
        <w:jc w:val="both"/>
        <w:rPr>
          <w:rFonts w:ascii="Times New Roman" w:hAnsi="Times New Roman"/>
          <w:lang w:val="et-EE"/>
        </w:rPr>
      </w:pPr>
    </w:p>
    <w:p w14:paraId="3A7CBE0E" w14:textId="5615D354" w:rsidR="00726CD2" w:rsidRDefault="00726CD2" w:rsidP="00D32BED">
      <w:pPr>
        <w:jc w:val="both"/>
        <w:rPr>
          <w:rFonts w:ascii="Times New Roman" w:hAnsi="Times New Roman"/>
          <w:lang w:val="et-EE"/>
        </w:rPr>
      </w:pPr>
      <w:r w:rsidRPr="00726CD2">
        <w:rPr>
          <w:rFonts w:ascii="Times New Roman" w:hAnsi="Times New Roman"/>
          <w:b/>
          <w:bCs/>
          <w:lang w:val="et-EE"/>
        </w:rPr>
        <w:t>KoPS § 18 lõiked 1 ja 2.</w:t>
      </w:r>
      <w:r>
        <w:rPr>
          <w:rFonts w:ascii="Times New Roman" w:hAnsi="Times New Roman"/>
          <w:lang w:val="et-EE"/>
        </w:rPr>
        <w:t xml:space="preserve"> Paragrahv </w:t>
      </w:r>
      <w:r w:rsidRPr="00726CD2">
        <w:rPr>
          <w:rFonts w:ascii="Times New Roman" w:hAnsi="Times New Roman"/>
          <w:lang w:val="et-EE"/>
        </w:rPr>
        <w:t>sätestab, mille arvelt tehakse sissemakseid pensionifondi või pensioni investeerimiskontole.</w:t>
      </w:r>
      <w:r>
        <w:rPr>
          <w:rFonts w:ascii="Times New Roman" w:hAnsi="Times New Roman"/>
          <w:lang w:val="et-EE"/>
        </w:rPr>
        <w:t xml:space="preserve"> Muudatused</w:t>
      </w:r>
      <w:r w:rsidR="00AC7D30">
        <w:rPr>
          <w:rFonts w:ascii="Times New Roman" w:hAnsi="Times New Roman"/>
          <w:lang w:val="et-EE"/>
        </w:rPr>
        <w:t xml:space="preserve">, millega lisatakse </w:t>
      </w:r>
      <w:r w:rsidR="00AC7D30" w:rsidRPr="00D11746">
        <w:rPr>
          <w:rFonts w:ascii="Times New Roman" w:hAnsi="Times New Roman"/>
          <w:u w:val="single"/>
          <w:lang w:val="et-EE"/>
        </w:rPr>
        <w:t>lõikesse 1 punkt 3</w:t>
      </w:r>
      <w:r w:rsidR="00AC7D30" w:rsidRPr="00D11746">
        <w:rPr>
          <w:rFonts w:ascii="Times New Roman" w:hAnsi="Times New Roman"/>
          <w:u w:val="single"/>
          <w:vertAlign w:val="superscript"/>
          <w:lang w:val="et-EE"/>
        </w:rPr>
        <w:t>1</w:t>
      </w:r>
      <w:r w:rsidR="00AC7D30" w:rsidRPr="00D11746">
        <w:rPr>
          <w:rFonts w:ascii="Times New Roman" w:hAnsi="Times New Roman"/>
          <w:u w:val="single"/>
          <w:lang w:val="et-EE"/>
        </w:rPr>
        <w:t xml:space="preserve"> ja lõikesse 2 punkt 4</w:t>
      </w:r>
      <w:r w:rsidR="00AC7D30" w:rsidRPr="00D11746">
        <w:rPr>
          <w:rFonts w:ascii="Times New Roman" w:hAnsi="Times New Roman"/>
          <w:u w:val="single"/>
          <w:vertAlign w:val="superscript"/>
          <w:lang w:val="et-EE"/>
        </w:rPr>
        <w:t>1</w:t>
      </w:r>
      <w:r w:rsidR="00AC7D30">
        <w:rPr>
          <w:rFonts w:ascii="Times New Roman" w:hAnsi="Times New Roman"/>
          <w:lang w:val="et-EE"/>
        </w:rPr>
        <w:t>,</w:t>
      </w:r>
      <w:r>
        <w:rPr>
          <w:rFonts w:ascii="Times New Roman" w:hAnsi="Times New Roman"/>
          <w:lang w:val="et-EE"/>
        </w:rPr>
        <w:t xml:space="preserve"> on seotud KoPS § 17</w:t>
      </w:r>
      <w:r>
        <w:rPr>
          <w:rFonts w:ascii="Times New Roman" w:hAnsi="Times New Roman"/>
          <w:vertAlign w:val="superscript"/>
          <w:lang w:val="et-EE"/>
        </w:rPr>
        <w:t>1</w:t>
      </w:r>
      <w:r>
        <w:rPr>
          <w:rFonts w:ascii="Times New Roman" w:hAnsi="Times New Roman"/>
          <w:lang w:val="et-EE"/>
        </w:rPr>
        <w:t xml:space="preserve"> täiendamisega lõigetega 4–6 ehk suletud pensioni investeerimiskontot puudutavate hilisemate laekumistega. Eelnõuga tä</w:t>
      </w:r>
      <w:r w:rsidRPr="00726CD2">
        <w:rPr>
          <w:rFonts w:ascii="Times New Roman" w:hAnsi="Times New Roman"/>
          <w:lang w:val="et-EE"/>
        </w:rPr>
        <w:t>iendatakse</w:t>
      </w:r>
      <w:r>
        <w:rPr>
          <w:rFonts w:ascii="Times New Roman" w:hAnsi="Times New Roman"/>
          <w:lang w:val="et-EE"/>
        </w:rPr>
        <w:t xml:space="preserve"> </w:t>
      </w:r>
      <w:r w:rsidRPr="00D11746">
        <w:rPr>
          <w:rFonts w:ascii="Times New Roman" w:hAnsi="Times New Roman"/>
          <w:lang w:val="et-EE"/>
        </w:rPr>
        <w:t>lõigetes 1 ja 2</w:t>
      </w:r>
      <w:r>
        <w:rPr>
          <w:rFonts w:ascii="Times New Roman" w:hAnsi="Times New Roman"/>
          <w:lang w:val="et-EE"/>
        </w:rPr>
        <w:t xml:space="preserve"> esitatud </w:t>
      </w:r>
      <w:r w:rsidRPr="00726CD2">
        <w:rPr>
          <w:rFonts w:ascii="Times New Roman" w:hAnsi="Times New Roman"/>
          <w:lang w:val="et-EE"/>
        </w:rPr>
        <w:t>loetelusid rahaga, mis laekub Pensionikeskusele</w:t>
      </w:r>
      <w:r w:rsidR="00A46E91">
        <w:rPr>
          <w:rFonts w:ascii="Times New Roman" w:hAnsi="Times New Roman"/>
          <w:lang w:val="et-EE"/>
        </w:rPr>
        <w:t xml:space="preserve"> krediidiasutuselt pärast seda, kui </w:t>
      </w:r>
      <w:r w:rsidR="00A46E91">
        <w:rPr>
          <w:rFonts w:ascii="Times New Roman" w:hAnsi="Times New Roman"/>
          <w:lang w:val="et-EE"/>
        </w:rPr>
        <w:lastRenderedPageBreak/>
        <w:t>isiku</w:t>
      </w:r>
      <w:r w:rsidRPr="00726CD2">
        <w:rPr>
          <w:rFonts w:ascii="Times New Roman" w:hAnsi="Times New Roman"/>
          <w:lang w:val="et-EE"/>
        </w:rPr>
        <w:t xml:space="preserve"> pensioni investeerimiskonto</w:t>
      </w:r>
      <w:r w:rsidR="00A46E91">
        <w:rPr>
          <w:rFonts w:ascii="Times New Roman" w:hAnsi="Times New Roman"/>
          <w:lang w:val="et-EE"/>
        </w:rPr>
        <w:t xml:space="preserve"> on</w:t>
      </w:r>
      <w:r w:rsidRPr="00726CD2">
        <w:rPr>
          <w:rFonts w:ascii="Times New Roman" w:hAnsi="Times New Roman"/>
          <w:lang w:val="et-EE"/>
        </w:rPr>
        <w:t xml:space="preserve"> </w:t>
      </w:r>
      <w:r w:rsidR="00A46E91">
        <w:rPr>
          <w:rFonts w:ascii="Times New Roman" w:hAnsi="Times New Roman"/>
          <w:lang w:val="et-EE"/>
        </w:rPr>
        <w:t>krediidiasutuse poolt suletud</w:t>
      </w:r>
      <w:r w:rsidRPr="00726CD2">
        <w:rPr>
          <w:rFonts w:ascii="Times New Roman" w:hAnsi="Times New Roman"/>
          <w:lang w:val="et-EE"/>
        </w:rPr>
        <w:t xml:space="preserve"> (so tulu selle konto kaudu varem soetatud finantsvaralt või pärast pensioni investeerimiskonto sulgemist omandatud finantsvara võõrandamisest saadud summa).</w:t>
      </w:r>
      <w:r w:rsidR="00A46E91">
        <w:rPr>
          <w:rFonts w:ascii="Times New Roman" w:hAnsi="Times New Roman"/>
          <w:lang w:val="et-EE"/>
        </w:rPr>
        <w:t xml:space="preserve"> Lõige 1 puudutab sissemakseid pensionifondi ja lõige 2 pensioni investeerimiskontole. </w:t>
      </w:r>
    </w:p>
    <w:p w14:paraId="6E64C519" w14:textId="77777777" w:rsidR="000B3CAD" w:rsidRDefault="000B3CAD" w:rsidP="00D32BED">
      <w:pPr>
        <w:jc w:val="both"/>
        <w:rPr>
          <w:rFonts w:ascii="Times New Roman" w:hAnsi="Times New Roman"/>
          <w:lang w:val="et-EE"/>
        </w:rPr>
      </w:pPr>
    </w:p>
    <w:p w14:paraId="4248EEDF" w14:textId="7AA4BA74" w:rsidR="000B3CAD" w:rsidRPr="000B3CAD" w:rsidRDefault="000B3CAD" w:rsidP="00642500">
      <w:pPr>
        <w:jc w:val="both"/>
        <w:rPr>
          <w:rFonts w:ascii="Times New Roman" w:hAnsi="Times New Roman"/>
          <w:lang w:val="et-EE"/>
        </w:rPr>
      </w:pPr>
      <w:r>
        <w:rPr>
          <w:rFonts w:ascii="Times New Roman" w:hAnsi="Times New Roman"/>
          <w:lang w:val="et-EE"/>
        </w:rPr>
        <w:t xml:space="preserve">Muudatused, millega lisatakse </w:t>
      </w:r>
      <w:r w:rsidRPr="00704C18">
        <w:rPr>
          <w:rFonts w:ascii="Times New Roman" w:hAnsi="Times New Roman"/>
          <w:u w:val="single"/>
          <w:lang w:val="et-EE"/>
        </w:rPr>
        <w:t>lõikesse 1 punkt 3</w:t>
      </w:r>
      <w:r w:rsidRPr="00704C18">
        <w:rPr>
          <w:rFonts w:ascii="Times New Roman" w:hAnsi="Times New Roman"/>
          <w:u w:val="single"/>
          <w:vertAlign w:val="superscript"/>
          <w:lang w:val="et-EE"/>
        </w:rPr>
        <w:t>2</w:t>
      </w:r>
      <w:r w:rsidRPr="00704C18">
        <w:rPr>
          <w:rFonts w:ascii="Times New Roman" w:hAnsi="Times New Roman"/>
          <w:u w:val="single"/>
          <w:lang w:val="et-EE"/>
        </w:rPr>
        <w:t xml:space="preserve"> ja lõikesse 2 punkt 4</w:t>
      </w:r>
      <w:r w:rsidRPr="00704C18">
        <w:rPr>
          <w:rFonts w:ascii="Times New Roman" w:hAnsi="Times New Roman"/>
          <w:u w:val="single"/>
          <w:vertAlign w:val="superscript"/>
          <w:lang w:val="et-EE"/>
        </w:rPr>
        <w:t>2</w:t>
      </w:r>
      <w:r>
        <w:rPr>
          <w:rFonts w:ascii="Times New Roman" w:hAnsi="Times New Roman"/>
          <w:lang w:val="et-EE"/>
        </w:rPr>
        <w:t>, on seotud KoPSi täiendamisega §-ga 46</w:t>
      </w:r>
      <w:r>
        <w:rPr>
          <w:rFonts w:ascii="Times New Roman" w:hAnsi="Times New Roman"/>
          <w:vertAlign w:val="superscript"/>
          <w:lang w:val="et-EE"/>
        </w:rPr>
        <w:t>2</w:t>
      </w:r>
      <w:r>
        <w:rPr>
          <w:rFonts w:ascii="Times New Roman" w:hAnsi="Times New Roman"/>
          <w:lang w:val="et-EE"/>
        </w:rPr>
        <w:t xml:space="preserve">, millega nähakse garantiiperioodiga pensionilepingu soodustatud isikule ette võimalus talle pärast kindlustusvõtja surma väljamaksmisele kuuluva summa ulatuses pensionifondi osakute väljalaskmiseks või pensioni investeerimiskontole kande tegemiseks. Tegemist on lisavõimalusega, mille soodustatud isik võib valida. Eelnõuga täiendatakse vastavalt siis ka KoPS § 18 lõikeid 1 ja 2, sätestades, et sissemakseid pensionifondi ja või pensioni investeerimiskontole tehakse ka </w:t>
      </w:r>
      <w:r w:rsidRPr="000B3CAD">
        <w:rPr>
          <w:rFonts w:ascii="Times New Roman" w:hAnsi="Times New Roman"/>
          <w:lang w:val="et-EE"/>
        </w:rPr>
        <w:t>osakute omandamisel</w:t>
      </w:r>
      <w:r>
        <w:rPr>
          <w:rFonts w:ascii="Times New Roman" w:hAnsi="Times New Roman"/>
          <w:lang w:val="et-EE"/>
        </w:rPr>
        <w:t xml:space="preserve"> või kande tegemisel pensioni investeerimiskontole </w:t>
      </w:r>
      <w:r w:rsidR="00642500">
        <w:rPr>
          <w:rFonts w:ascii="Times New Roman" w:hAnsi="Times New Roman"/>
          <w:lang w:val="et-EE"/>
        </w:rPr>
        <w:t xml:space="preserve">raha kandmisel </w:t>
      </w:r>
      <w:r>
        <w:rPr>
          <w:rFonts w:ascii="Times New Roman" w:hAnsi="Times New Roman"/>
          <w:lang w:val="et-EE"/>
        </w:rPr>
        <w:t>garantiiperioodiga pensionilepingust</w:t>
      </w:r>
      <w:r w:rsidR="00642500">
        <w:rPr>
          <w:rFonts w:ascii="Times New Roman" w:hAnsi="Times New Roman"/>
          <w:lang w:val="et-EE"/>
        </w:rPr>
        <w:t>, vastavalt KoPS § 46</w:t>
      </w:r>
      <w:r w:rsidR="00642500">
        <w:rPr>
          <w:rFonts w:ascii="Times New Roman" w:hAnsi="Times New Roman"/>
          <w:vertAlign w:val="superscript"/>
          <w:lang w:val="et-EE"/>
        </w:rPr>
        <w:t>2</w:t>
      </w:r>
      <w:r w:rsidR="00642500">
        <w:rPr>
          <w:rFonts w:ascii="Times New Roman" w:hAnsi="Times New Roman"/>
          <w:lang w:val="et-EE"/>
        </w:rPr>
        <w:t xml:space="preserve"> lõikes 3 sätestatule. </w:t>
      </w:r>
    </w:p>
    <w:p w14:paraId="18F33C5D" w14:textId="66BB8D74" w:rsidR="00726CD2" w:rsidRDefault="00726CD2" w:rsidP="00D32BED">
      <w:pPr>
        <w:jc w:val="both"/>
        <w:rPr>
          <w:rFonts w:ascii="Times New Roman" w:hAnsi="Times New Roman"/>
          <w:lang w:val="et-EE"/>
        </w:rPr>
      </w:pPr>
    </w:p>
    <w:p w14:paraId="5B5ED085" w14:textId="73DA7C9E" w:rsidR="00A46E91" w:rsidRPr="00A46E91" w:rsidRDefault="00A46E91" w:rsidP="00D32BED">
      <w:pPr>
        <w:jc w:val="both"/>
        <w:rPr>
          <w:rFonts w:ascii="Times New Roman" w:hAnsi="Times New Roman"/>
          <w:lang w:val="et-EE"/>
        </w:rPr>
      </w:pPr>
      <w:r w:rsidRPr="00A46E91">
        <w:rPr>
          <w:rFonts w:ascii="Times New Roman" w:hAnsi="Times New Roman"/>
          <w:b/>
          <w:bCs/>
          <w:lang w:val="et-EE"/>
        </w:rPr>
        <w:t>KoPS § 28 lõiked 2,</w:t>
      </w:r>
      <w:r w:rsidR="00642500">
        <w:rPr>
          <w:rFonts w:ascii="Times New Roman" w:hAnsi="Times New Roman"/>
          <w:b/>
          <w:bCs/>
          <w:lang w:val="et-EE"/>
        </w:rPr>
        <w:t xml:space="preserve"> 2</w:t>
      </w:r>
      <w:r w:rsidR="00642500">
        <w:rPr>
          <w:rFonts w:ascii="Times New Roman" w:hAnsi="Times New Roman"/>
          <w:b/>
          <w:bCs/>
          <w:vertAlign w:val="superscript"/>
          <w:lang w:val="et-EE"/>
        </w:rPr>
        <w:t>1</w:t>
      </w:r>
      <w:r w:rsidR="00642500">
        <w:rPr>
          <w:rFonts w:ascii="Times New Roman" w:hAnsi="Times New Roman"/>
          <w:b/>
          <w:bCs/>
          <w:lang w:val="et-EE"/>
        </w:rPr>
        <w:t>,</w:t>
      </w:r>
      <w:r w:rsidRPr="00A46E91">
        <w:rPr>
          <w:rFonts w:ascii="Times New Roman" w:hAnsi="Times New Roman"/>
          <w:b/>
          <w:bCs/>
          <w:lang w:val="et-EE"/>
        </w:rPr>
        <w:t xml:space="preserve"> 3 </w:t>
      </w:r>
      <w:r w:rsidR="00642500">
        <w:rPr>
          <w:rFonts w:ascii="Times New Roman" w:hAnsi="Times New Roman"/>
          <w:b/>
          <w:bCs/>
          <w:lang w:val="et-EE"/>
        </w:rPr>
        <w:t xml:space="preserve">ja </w:t>
      </w:r>
      <w:r w:rsidRPr="00A46E91">
        <w:rPr>
          <w:rFonts w:ascii="Times New Roman" w:hAnsi="Times New Roman"/>
          <w:b/>
          <w:bCs/>
          <w:lang w:val="et-EE"/>
        </w:rPr>
        <w:t>3</w:t>
      </w:r>
      <w:r w:rsidRPr="00A46E91">
        <w:rPr>
          <w:rFonts w:ascii="Times New Roman" w:hAnsi="Times New Roman"/>
          <w:b/>
          <w:bCs/>
          <w:vertAlign w:val="superscript"/>
          <w:lang w:val="et-EE"/>
        </w:rPr>
        <w:t>1</w:t>
      </w:r>
      <w:r w:rsidRPr="00A46E91">
        <w:rPr>
          <w:rFonts w:ascii="Times New Roman" w:hAnsi="Times New Roman"/>
          <w:b/>
          <w:bCs/>
          <w:lang w:val="et-EE"/>
        </w:rPr>
        <w:t>.</w:t>
      </w:r>
      <w:r>
        <w:rPr>
          <w:rFonts w:ascii="Times New Roman" w:hAnsi="Times New Roman"/>
          <w:lang w:val="et-EE"/>
        </w:rPr>
        <w:t xml:space="preserve"> Paragrahvis on sätestatud kohustusliku kogumispensioni vara pärimist puudutavad üldised põhimõtted. </w:t>
      </w:r>
      <w:r w:rsidR="006A1E38">
        <w:rPr>
          <w:rFonts w:ascii="Times New Roman" w:hAnsi="Times New Roman"/>
          <w:lang w:val="et-EE"/>
        </w:rPr>
        <w:t>Eelnõuga muudetakse lõikeid 2 ja 3 ning lisatakse paragrahvi uued lõiked 3</w:t>
      </w:r>
      <w:r w:rsidR="006A1E38">
        <w:rPr>
          <w:rFonts w:ascii="Times New Roman" w:hAnsi="Times New Roman"/>
          <w:vertAlign w:val="superscript"/>
          <w:lang w:val="et-EE"/>
        </w:rPr>
        <w:t>1</w:t>
      </w:r>
      <w:r w:rsidR="006A1E38">
        <w:rPr>
          <w:rFonts w:ascii="Times New Roman" w:hAnsi="Times New Roman"/>
          <w:lang w:val="et-EE"/>
        </w:rPr>
        <w:t xml:space="preserve"> ja 3</w:t>
      </w:r>
      <w:r w:rsidR="006A1E38">
        <w:rPr>
          <w:rFonts w:ascii="Times New Roman" w:hAnsi="Times New Roman"/>
          <w:vertAlign w:val="superscript"/>
          <w:lang w:val="et-EE"/>
        </w:rPr>
        <w:t>2</w:t>
      </w:r>
      <w:r w:rsidR="006A1E38">
        <w:rPr>
          <w:rFonts w:ascii="Times New Roman" w:hAnsi="Times New Roman"/>
          <w:lang w:val="et-EE"/>
        </w:rPr>
        <w:t xml:space="preserve"> </w:t>
      </w:r>
      <w:r w:rsidR="004C7373">
        <w:rPr>
          <w:rFonts w:ascii="Times New Roman" w:hAnsi="Times New Roman"/>
          <w:lang w:val="et-EE"/>
        </w:rPr>
        <w:t>K</w:t>
      </w:r>
      <w:r w:rsidRPr="00A46E91">
        <w:rPr>
          <w:rFonts w:ascii="Times New Roman" w:hAnsi="Times New Roman"/>
          <w:lang w:val="et-EE"/>
        </w:rPr>
        <w:t>ehtiva seaduse kohaselt on pärijal võimalik päritud II samba raha (nii pensionifondis kui pensioni investeerimiskontol olev</w:t>
      </w:r>
      <w:r w:rsidR="004C7373">
        <w:rPr>
          <w:rFonts w:ascii="Times New Roman" w:hAnsi="Times New Roman"/>
          <w:lang w:val="et-EE"/>
        </w:rPr>
        <w:t xml:space="preserve"> raha</w:t>
      </w:r>
      <w:r w:rsidRPr="00A46E91">
        <w:rPr>
          <w:rFonts w:ascii="Times New Roman" w:hAnsi="Times New Roman"/>
          <w:lang w:val="et-EE"/>
        </w:rPr>
        <w:t xml:space="preserve">) välja võtta. Samuti on pärijal õigus päritud II samba vara oma II samasse võtta. Pensionifondi puhul kantakse surnud isikule kuulunud pensionifondi osakud sellisel juhul pärija pensionikontole. Pensioni investeerimiskontot kui sellist pärija nimele ümber vormistada ei ole võimalik, mistõttu on siin ette nähtud raha kandmine surnud isiku kontolt pärija pensioni investeerimiskontole. Läbi pensioni investeerimiskonto soetatud finantsvara puhul tuleb pärijal see vara siis esmalt realiseerida. Kui </w:t>
      </w:r>
      <w:r w:rsidR="004C7373">
        <w:rPr>
          <w:rFonts w:ascii="Times New Roman" w:hAnsi="Times New Roman"/>
          <w:lang w:val="et-EE"/>
        </w:rPr>
        <w:t xml:space="preserve">nii pärijale kui pärandajale </w:t>
      </w:r>
      <w:r w:rsidRPr="00A46E91">
        <w:rPr>
          <w:rFonts w:ascii="Times New Roman" w:hAnsi="Times New Roman"/>
          <w:lang w:val="et-EE"/>
        </w:rPr>
        <w:t xml:space="preserve">pensioni investeerimiskonto avanud </w:t>
      </w:r>
      <w:r w:rsidR="004C7373">
        <w:rPr>
          <w:rFonts w:ascii="Times New Roman" w:hAnsi="Times New Roman"/>
          <w:lang w:val="et-EE"/>
        </w:rPr>
        <w:t>krediidiasutused</w:t>
      </w:r>
      <w:r w:rsidRPr="00A46E91">
        <w:rPr>
          <w:rFonts w:ascii="Times New Roman" w:hAnsi="Times New Roman"/>
          <w:lang w:val="et-EE"/>
        </w:rPr>
        <w:t xml:space="preserve"> seda võimaldavad, saab finantsvara ka surnud isiku pensioni investeerimiskontoga seotud väärtpaberikontolt pärija pensioni investeerimiskontoga seotud väärtpaberikontole ümber registreerida. </w:t>
      </w:r>
    </w:p>
    <w:p w14:paraId="5F7261BF" w14:textId="77777777" w:rsidR="00A46E91" w:rsidRPr="00A46E91" w:rsidRDefault="00A46E91" w:rsidP="00D32BED">
      <w:pPr>
        <w:jc w:val="both"/>
        <w:rPr>
          <w:rFonts w:ascii="Times New Roman" w:hAnsi="Times New Roman"/>
          <w:lang w:val="et-EE"/>
        </w:rPr>
      </w:pPr>
    </w:p>
    <w:p w14:paraId="62BE3E48" w14:textId="04EC904C" w:rsidR="00A46E91" w:rsidRPr="00A46E91" w:rsidRDefault="004C7373" w:rsidP="00D32BED">
      <w:pPr>
        <w:jc w:val="both"/>
        <w:rPr>
          <w:rFonts w:ascii="Times New Roman" w:hAnsi="Times New Roman"/>
          <w:lang w:val="et-EE"/>
        </w:rPr>
      </w:pPr>
      <w:r>
        <w:rPr>
          <w:rFonts w:ascii="Times New Roman" w:hAnsi="Times New Roman"/>
          <w:lang w:val="et-EE"/>
        </w:rPr>
        <w:t>Eelnõuga</w:t>
      </w:r>
      <w:r w:rsidR="00A46E91" w:rsidRPr="00A46E91">
        <w:rPr>
          <w:rFonts w:ascii="Times New Roman" w:hAnsi="Times New Roman"/>
          <w:lang w:val="et-EE"/>
        </w:rPr>
        <w:t xml:space="preserve"> laiendatakse pärija valikuid ning võimaldatakse tal päritud II samba pensionifondi osakud koheselt vahetada selle pensionifondi osakute vastu või kanda nende osakute tagasivõtmisel saadud raha oma pensioni investeerimiskontole, kuhu laekub või peaks laekuma tema kogumispensioni makse. Pärimise protsess muutub sellega pärija jaoks mugavamaks, sest ta ei pea enam esmalt laskma surnud isikule kuulunud pensionifondi osakuid oma pensionikontole kanda, et neid siis alles seejärel oma pensionifondi osakute vastu vahetada. Samal ajal säilib ka võimalus surnud isiku pensionifondi osakute oma pensionikontole võtmiseks. Kui soovitakse valida mõne muu pensionifondi osakuid, siis see eeldab jätkuvalt</w:t>
      </w:r>
      <w:r>
        <w:rPr>
          <w:rFonts w:ascii="Times New Roman" w:hAnsi="Times New Roman"/>
          <w:lang w:val="et-EE"/>
        </w:rPr>
        <w:t xml:space="preserve"> eraldiseisvat pensionifondi osakute vahetustehingut. Esimene sammuna tuleks sellisel juhul päritud osakud oma pensionikontole võtta. Ka siis, kui pärija on valinud päritud pensionifondi osakute kohese vahetamise oma pensionifondi osakute vastu, on tal loomulikult hiljem võimalik neid osakuid mõne teise pensionifondi osakute vastu vahetada.  </w:t>
      </w:r>
    </w:p>
    <w:p w14:paraId="37684E56" w14:textId="77777777" w:rsidR="00A46E91" w:rsidRPr="00A46E91" w:rsidRDefault="00A46E91" w:rsidP="00D32BED">
      <w:pPr>
        <w:jc w:val="both"/>
        <w:rPr>
          <w:rFonts w:ascii="Times New Roman" w:hAnsi="Times New Roman"/>
          <w:lang w:val="et-EE"/>
        </w:rPr>
      </w:pPr>
    </w:p>
    <w:p w14:paraId="37920E96" w14:textId="46C395C8" w:rsidR="00A46E91" w:rsidRPr="00A46E91" w:rsidRDefault="00A46E91" w:rsidP="00D32BED">
      <w:pPr>
        <w:jc w:val="both"/>
        <w:rPr>
          <w:rFonts w:ascii="Times New Roman" w:hAnsi="Times New Roman"/>
          <w:lang w:val="et-EE"/>
        </w:rPr>
      </w:pPr>
      <w:r w:rsidRPr="00A46E91">
        <w:rPr>
          <w:rFonts w:ascii="Times New Roman" w:hAnsi="Times New Roman"/>
          <w:lang w:val="et-EE"/>
        </w:rPr>
        <w:t xml:space="preserve">Kui pärija makse laekub või peaks laekuma pensioni investeerimiskontole, avaneb </w:t>
      </w:r>
      <w:r w:rsidR="004C7373">
        <w:rPr>
          <w:rFonts w:ascii="Times New Roman" w:hAnsi="Times New Roman"/>
          <w:lang w:val="et-EE"/>
        </w:rPr>
        <w:t xml:space="preserve">eelnõu kohaselt </w:t>
      </w:r>
      <w:r w:rsidRPr="00A46E91">
        <w:rPr>
          <w:rFonts w:ascii="Times New Roman" w:hAnsi="Times New Roman"/>
          <w:lang w:val="et-EE"/>
        </w:rPr>
        <w:t>temal lisaks päritud pensionifondi osakute oma pensionikontole kandmisele võimalus need osakud kohe tagasi lasta võtta ja vastav summa oma pensioni investeerimiskontole võtta.</w:t>
      </w:r>
      <w:r w:rsidR="004C7373">
        <w:rPr>
          <w:rFonts w:ascii="Times New Roman" w:hAnsi="Times New Roman"/>
          <w:lang w:val="et-EE"/>
        </w:rPr>
        <w:t xml:space="preserve"> </w:t>
      </w:r>
      <w:r w:rsidRPr="00A46E91">
        <w:rPr>
          <w:rFonts w:ascii="Times New Roman" w:hAnsi="Times New Roman"/>
          <w:lang w:val="et-EE"/>
        </w:rPr>
        <w:t xml:space="preserve"> </w:t>
      </w:r>
    </w:p>
    <w:p w14:paraId="7946660F" w14:textId="77777777" w:rsidR="00A46E91" w:rsidRPr="00A46E91" w:rsidRDefault="00A46E91" w:rsidP="00D32BED">
      <w:pPr>
        <w:jc w:val="both"/>
        <w:rPr>
          <w:rFonts w:ascii="Times New Roman" w:hAnsi="Times New Roman"/>
          <w:lang w:val="et-EE"/>
        </w:rPr>
      </w:pPr>
    </w:p>
    <w:p w14:paraId="1CC637ED" w14:textId="097C8699" w:rsidR="00A46E91" w:rsidRPr="00A46E91" w:rsidRDefault="00A46E91" w:rsidP="00D32BED">
      <w:pPr>
        <w:jc w:val="both"/>
        <w:rPr>
          <w:rFonts w:ascii="Times New Roman" w:hAnsi="Times New Roman"/>
          <w:lang w:val="et-EE"/>
        </w:rPr>
      </w:pPr>
      <w:r w:rsidRPr="00A46E91">
        <w:rPr>
          <w:rFonts w:ascii="Times New Roman" w:hAnsi="Times New Roman"/>
          <w:lang w:val="et-EE"/>
        </w:rPr>
        <w:t>Kui päritakse pensioni investeerimiskontol olev raha, siis ka selle luba</w:t>
      </w:r>
      <w:r w:rsidR="004C7373">
        <w:rPr>
          <w:rFonts w:ascii="Times New Roman" w:hAnsi="Times New Roman"/>
          <w:lang w:val="et-EE"/>
        </w:rPr>
        <w:t>b</w:t>
      </w:r>
      <w:r w:rsidRPr="00A46E91">
        <w:rPr>
          <w:rFonts w:ascii="Times New Roman" w:hAnsi="Times New Roman"/>
          <w:lang w:val="et-EE"/>
        </w:rPr>
        <w:t xml:space="preserve"> </w:t>
      </w:r>
      <w:r w:rsidR="004C7373">
        <w:rPr>
          <w:rFonts w:ascii="Times New Roman" w:hAnsi="Times New Roman"/>
          <w:lang w:val="et-EE"/>
        </w:rPr>
        <w:t>eelnõu</w:t>
      </w:r>
      <w:r w:rsidRPr="00A46E91">
        <w:rPr>
          <w:rFonts w:ascii="Times New Roman" w:hAnsi="Times New Roman"/>
          <w:lang w:val="et-EE"/>
        </w:rPr>
        <w:t xml:space="preserve"> kanda, kas pensionifondi või pensioni investeerimiskontole, kuhu laekub või peaks laekuma pärija kogumispensioni makse. </w:t>
      </w:r>
    </w:p>
    <w:p w14:paraId="7B5C36EA" w14:textId="77777777" w:rsidR="00A46E91" w:rsidRPr="00A46E91" w:rsidRDefault="00A46E91" w:rsidP="00D32BED">
      <w:pPr>
        <w:jc w:val="both"/>
        <w:rPr>
          <w:rFonts w:ascii="Times New Roman" w:hAnsi="Times New Roman"/>
          <w:lang w:val="et-EE"/>
        </w:rPr>
      </w:pPr>
    </w:p>
    <w:p w14:paraId="1BB3BB93" w14:textId="600C9D5B" w:rsidR="00A46E91" w:rsidRDefault="00A46E91" w:rsidP="00D32BED">
      <w:pPr>
        <w:jc w:val="both"/>
        <w:rPr>
          <w:rFonts w:ascii="Times New Roman" w:hAnsi="Times New Roman"/>
          <w:lang w:val="et-EE"/>
        </w:rPr>
      </w:pPr>
      <w:r w:rsidRPr="00A46E91">
        <w:rPr>
          <w:rFonts w:ascii="Times New Roman" w:hAnsi="Times New Roman"/>
          <w:lang w:val="et-EE"/>
        </w:rPr>
        <w:t>Vastavalt muudetakse</w:t>
      </w:r>
      <w:r w:rsidR="004C7373">
        <w:rPr>
          <w:rFonts w:ascii="Times New Roman" w:hAnsi="Times New Roman"/>
          <w:lang w:val="et-EE"/>
        </w:rPr>
        <w:t xml:space="preserve"> </w:t>
      </w:r>
      <w:r w:rsidRPr="004C7373">
        <w:rPr>
          <w:rFonts w:ascii="Times New Roman" w:hAnsi="Times New Roman"/>
          <w:u w:val="single"/>
          <w:lang w:val="et-EE"/>
        </w:rPr>
        <w:t>lõikeid 2 ja 3</w:t>
      </w:r>
      <w:r w:rsidRPr="00A46E91">
        <w:rPr>
          <w:rFonts w:ascii="Times New Roman" w:hAnsi="Times New Roman"/>
          <w:lang w:val="et-EE"/>
        </w:rPr>
        <w:t xml:space="preserve">. </w:t>
      </w:r>
      <w:r w:rsidR="004C7373">
        <w:rPr>
          <w:rFonts w:ascii="Times New Roman" w:hAnsi="Times New Roman"/>
          <w:lang w:val="et-EE"/>
        </w:rPr>
        <w:t>Lõikes 2 sätestatakse, et p</w:t>
      </w:r>
      <w:r w:rsidR="004C7373" w:rsidRPr="004C7373">
        <w:rPr>
          <w:rFonts w:ascii="Times New Roman" w:hAnsi="Times New Roman"/>
          <w:lang w:val="et-EE"/>
        </w:rPr>
        <w:t xml:space="preserve">ärijal on </w:t>
      </w:r>
      <w:r w:rsidR="004C7373">
        <w:rPr>
          <w:rFonts w:ascii="Times New Roman" w:hAnsi="Times New Roman"/>
          <w:lang w:val="et-EE"/>
        </w:rPr>
        <w:t>KoPS-s</w:t>
      </w:r>
      <w:r w:rsidR="004C7373" w:rsidRPr="004C7373">
        <w:rPr>
          <w:rFonts w:ascii="Times New Roman" w:hAnsi="Times New Roman"/>
          <w:lang w:val="et-EE"/>
        </w:rPr>
        <w:t xml:space="preserve"> sätestatud tingimustel ja korras õigus</w:t>
      </w:r>
      <w:r w:rsidR="004C7373">
        <w:rPr>
          <w:rFonts w:ascii="Times New Roman" w:hAnsi="Times New Roman"/>
          <w:lang w:val="et-EE"/>
        </w:rPr>
        <w:t xml:space="preserve">: (i) </w:t>
      </w:r>
      <w:r w:rsidR="004C7373" w:rsidRPr="004C7373">
        <w:rPr>
          <w:rFonts w:ascii="Times New Roman" w:hAnsi="Times New Roman"/>
          <w:lang w:val="et-EE"/>
        </w:rPr>
        <w:t>kanda päritud osakud oma pensionikontole;</w:t>
      </w:r>
      <w:r w:rsidR="004C7373">
        <w:rPr>
          <w:rFonts w:ascii="Times New Roman" w:hAnsi="Times New Roman"/>
          <w:lang w:val="et-EE"/>
        </w:rPr>
        <w:t xml:space="preserve"> (ii) </w:t>
      </w:r>
      <w:r w:rsidR="004C7373" w:rsidRPr="004C7373">
        <w:rPr>
          <w:rFonts w:ascii="Times New Roman" w:hAnsi="Times New Roman"/>
          <w:lang w:val="et-EE"/>
        </w:rPr>
        <w:t xml:space="preserve">vahetada päritud </w:t>
      </w:r>
      <w:r w:rsidR="004C7373" w:rsidRPr="004C7373">
        <w:rPr>
          <w:rFonts w:ascii="Times New Roman" w:hAnsi="Times New Roman"/>
          <w:lang w:val="et-EE"/>
        </w:rPr>
        <w:lastRenderedPageBreak/>
        <w:t>osakud selle pensionifondi osakute vastu või kanda päritud osakute tagasivõtmisel saadud summa pensioni investeerimiskontole, kuhu laekub või peaks laekuma pärija kohustusliku kogumispensioni makse;</w:t>
      </w:r>
      <w:r w:rsidR="004C7373">
        <w:rPr>
          <w:rFonts w:ascii="Times New Roman" w:hAnsi="Times New Roman"/>
          <w:lang w:val="et-EE"/>
        </w:rPr>
        <w:t xml:space="preserve"> (iii) </w:t>
      </w:r>
      <w:r w:rsidR="004C7373" w:rsidRPr="004C7373">
        <w:rPr>
          <w:rFonts w:ascii="Times New Roman" w:hAnsi="Times New Roman"/>
          <w:lang w:val="et-EE"/>
        </w:rPr>
        <w:t>võtta päritud pensionifondi osakud tagasi;</w:t>
      </w:r>
      <w:r w:rsidR="004C7373">
        <w:rPr>
          <w:rFonts w:ascii="Times New Roman" w:hAnsi="Times New Roman"/>
          <w:lang w:val="et-EE"/>
        </w:rPr>
        <w:t xml:space="preserve"> (iv) </w:t>
      </w:r>
      <w:r w:rsidR="004C7373" w:rsidRPr="004C7373">
        <w:rPr>
          <w:rFonts w:ascii="Times New Roman" w:hAnsi="Times New Roman"/>
          <w:lang w:val="et-EE"/>
        </w:rPr>
        <w:t>omandada päritud pensioni investeerimiskontol oleva raha eest selle pensionifondi osakuid või kanda see raha oma pensioni investeerimiskontole, kuhu laekub või peaks laekuma pärija kohustusliku kogumispensioni makse</w:t>
      </w:r>
      <w:r w:rsidR="004C7373">
        <w:rPr>
          <w:rFonts w:ascii="Times New Roman" w:hAnsi="Times New Roman"/>
          <w:lang w:val="et-EE"/>
        </w:rPr>
        <w:t xml:space="preserve"> ning (v) </w:t>
      </w:r>
      <w:r w:rsidR="004C7373" w:rsidRPr="004C7373">
        <w:rPr>
          <w:rFonts w:ascii="Times New Roman" w:hAnsi="Times New Roman"/>
          <w:lang w:val="et-EE"/>
        </w:rPr>
        <w:t xml:space="preserve">võtta pensioni investeerimiskontol olev päritud raha välja. </w:t>
      </w:r>
      <w:r w:rsidR="004C7373">
        <w:rPr>
          <w:rFonts w:ascii="Times New Roman" w:hAnsi="Times New Roman"/>
          <w:lang w:val="et-EE"/>
        </w:rPr>
        <w:t xml:space="preserve">Pensioni investeerimiskontoga seonduvalt täpsustatakse </w:t>
      </w:r>
      <w:r w:rsidR="004C7373" w:rsidRPr="006A1E38">
        <w:rPr>
          <w:rFonts w:ascii="Times New Roman" w:hAnsi="Times New Roman"/>
          <w:u w:val="single"/>
          <w:lang w:val="et-EE"/>
        </w:rPr>
        <w:t>lõikes 3</w:t>
      </w:r>
      <w:r w:rsidR="004C7373">
        <w:rPr>
          <w:rFonts w:ascii="Times New Roman" w:hAnsi="Times New Roman"/>
          <w:lang w:val="et-EE"/>
        </w:rPr>
        <w:t xml:space="preserve">, et </w:t>
      </w:r>
      <w:r w:rsidR="006A1E38">
        <w:rPr>
          <w:rFonts w:ascii="Times New Roman" w:hAnsi="Times New Roman"/>
          <w:lang w:val="et-EE"/>
        </w:rPr>
        <w:t>p</w:t>
      </w:r>
      <w:r w:rsidR="004C7373" w:rsidRPr="004C7373">
        <w:rPr>
          <w:rFonts w:ascii="Times New Roman" w:hAnsi="Times New Roman"/>
          <w:lang w:val="et-EE"/>
        </w:rPr>
        <w:t xml:space="preserve">äritud pensioni investeerimiskonto kaudu soetatud finantsvara puhul on pärijal pensioni investeerimiskonto avanud krediidiasutusega sõlmitud lepingus, finantsvara soetamisel sõlmitud lepingus ning seaduses sätestatud tingimustel ja korras õigus see finantsvara </w:t>
      </w:r>
      <w:r w:rsidR="006A1E38">
        <w:rPr>
          <w:rFonts w:ascii="Times New Roman" w:hAnsi="Times New Roman"/>
          <w:lang w:val="et-EE"/>
        </w:rPr>
        <w:t xml:space="preserve">ka </w:t>
      </w:r>
      <w:r w:rsidR="004C7373" w:rsidRPr="004C7373">
        <w:rPr>
          <w:rFonts w:ascii="Times New Roman" w:hAnsi="Times New Roman"/>
          <w:lang w:val="et-EE"/>
        </w:rPr>
        <w:t>võõrandada ja finantsvara soetamisel sõlmitud leping lõpetada või registreerida see finantsvara kokkuleppel pärandajale ja pärijale pensioni investeerimiskontod avanud krediidiasutustega oma pensioni investeerimiskontoga seotud väärtpaberikontole.</w:t>
      </w:r>
      <w:r w:rsidR="006A1E38">
        <w:rPr>
          <w:rFonts w:ascii="Times New Roman" w:hAnsi="Times New Roman"/>
          <w:lang w:val="et-EE"/>
        </w:rPr>
        <w:t xml:space="preserve"> </w:t>
      </w:r>
    </w:p>
    <w:p w14:paraId="4BF39E09" w14:textId="77777777" w:rsidR="00642500" w:rsidRPr="00A46E91" w:rsidRDefault="00642500" w:rsidP="00D32BED">
      <w:pPr>
        <w:jc w:val="both"/>
        <w:rPr>
          <w:rFonts w:ascii="Times New Roman" w:hAnsi="Times New Roman"/>
          <w:lang w:val="et-EE"/>
        </w:rPr>
      </w:pPr>
    </w:p>
    <w:p w14:paraId="2A3B354B" w14:textId="7D822476" w:rsidR="006A1E38" w:rsidRDefault="00642500" w:rsidP="00D32BED">
      <w:pPr>
        <w:jc w:val="both"/>
        <w:rPr>
          <w:rFonts w:ascii="Times New Roman" w:hAnsi="Times New Roman"/>
          <w:lang w:val="et-EE"/>
        </w:rPr>
      </w:pPr>
      <w:r w:rsidRPr="00642500">
        <w:rPr>
          <w:rFonts w:ascii="Times New Roman" w:hAnsi="Times New Roman"/>
          <w:u w:val="single"/>
          <w:lang w:val="et-EE"/>
        </w:rPr>
        <w:t>Lõikes 2</w:t>
      </w:r>
      <w:r w:rsidRPr="00642500">
        <w:rPr>
          <w:rFonts w:ascii="Times New Roman" w:hAnsi="Times New Roman"/>
          <w:u w:val="single"/>
          <w:vertAlign w:val="superscript"/>
          <w:lang w:val="et-EE"/>
        </w:rPr>
        <w:t>1</w:t>
      </w:r>
      <w:r>
        <w:rPr>
          <w:rFonts w:ascii="Times New Roman" w:hAnsi="Times New Roman"/>
          <w:lang w:val="et-EE"/>
        </w:rPr>
        <w:t xml:space="preserve"> </w:t>
      </w:r>
      <w:r w:rsidRPr="00A46E91">
        <w:rPr>
          <w:rFonts w:ascii="Times New Roman" w:hAnsi="Times New Roman"/>
          <w:lang w:val="et-EE"/>
        </w:rPr>
        <w:t>taasesitatakse kehtiva</w:t>
      </w:r>
      <w:r>
        <w:rPr>
          <w:rFonts w:ascii="Times New Roman" w:hAnsi="Times New Roman"/>
          <w:lang w:val="et-EE"/>
        </w:rPr>
        <w:t>s sõnastuses</w:t>
      </w:r>
      <w:r w:rsidRPr="00A46E91">
        <w:rPr>
          <w:rFonts w:ascii="Times New Roman" w:hAnsi="Times New Roman"/>
          <w:lang w:val="et-EE"/>
        </w:rPr>
        <w:t xml:space="preserve"> lõike 2 teine lause, mis ütleb, et avaldus KoPS § 28 lõikes 2 nimetatud tehingute tegemiseks, so KoPS §-s 31 sätestatud avaldus, on ühepoolne tehing tsiviilseadustiku üldosa seaduse tähenduses.</w:t>
      </w:r>
    </w:p>
    <w:p w14:paraId="28F7F1CA" w14:textId="77777777" w:rsidR="00642500" w:rsidRPr="00642500" w:rsidRDefault="00642500" w:rsidP="00D32BED">
      <w:pPr>
        <w:jc w:val="both"/>
        <w:rPr>
          <w:rFonts w:ascii="Times New Roman" w:hAnsi="Times New Roman"/>
          <w:lang w:val="et-EE"/>
        </w:rPr>
      </w:pPr>
    </w:p>
    <w:p w14:paraId="442E999F" w14:textId="34DBA33E" w:rsidR="00A46E91" w:rsidRDefault="006A1E38" w:rsidP="00D32BED">
      <w:pPr>
        <w:jc w:val="both"/>
        <w:rPr>
          <w:rFonts w:ascii="Times New Roman" w:hAnsi="Times New Roman"/>
          <w:lang w:val="et-EE"/>
        </w:rPr>
      </w:pPr>
      <w:r w:rsidRPr="006A1E38">
        <w:rPr>
          <w:rFonts w:ascii="Times New Roman" w:hAnsi="Times New Roman"/>
          <w:u w:val="single"/>
          <w:lang w:val="et-EE"/>
        </w:rPr>
        <w:t>Lõikes 3</w:t>
      </w:r>
      <w:r w:rsidRPr="006A1E38">
        <w:rPr>
          <w:rFonts w:ascii="Times New Roman" w:hAnsi="Times New Roman"/>
          <w:u w:val="single"/>
          <w:vertAlign w:val="superscript"/>
          <w:lang w:val="et-EE"/>
        </w:rPr>
        <w:t>1</w:t>
      </w:r>
      <w:r w:rsidR="00A46E91" w:rsidRPr="00A46E91">
        <w:rPr>
          <w:rFonts w:ascii="Times New Roman" w:hAnsi="Times New Roman"/>
          <w:lang w:val="et-EE"/>
        </w:rPr>
        <w:t xml:space="preserve"> reguleeri</w:t>
      </w:r>
      <w:r>
        <w:rPr>
          <w:rFonts w:ascii="Times New Roman" w:hAnsi="Times New Roman"/>
          <w:lang w:val="et-EE"/>
        </w:rPr>
        <w:t>takse</w:t>
      </w:r>
      <w:r w:rsidR="00A46E91" w:rsidRPr="00A46E91">
        <w:rPr>
          <w:rFonts w:ascii="Times New Roman" w:hAnsi="Times New Roman"/>
          <w:lang w:val="et-EE"/>
        </w:rPr>
        <w:t xml:space="preserve"> olukorda, kus pensionifondi, kuhu laekub või peaks laekuma pärija kohustusliku kogumispensioni makse, osakute väljalaskmine on investeerimisfondide seaduse § 57 või 173 alusel peatatud. Sellisel juhul ei ole võimalik selle pensionifondi osakuid välja lasta, mistõttu sätestatakse ka, et antud juhul ei ole pärijal ka võimalik kasutada oma õigust vahetada päritud pensionifondi osakud selle oma pensionifondi osakute vastu ega õigust omandada selle pensionifondi osakuid päritud pensioni investeerimiskontol oleva raha eest. Selleks, et päritud II samba vara oma II sambasse võtta, tuleks pärijal siis, kas võtta surnud isiku pensionifondi osakud oma pensionikontole, kui tegemist on pensionifondi osakutega, või esitada uus valikuavaldus, et suunata esmalt oma maksed uude pensionifondi või oma pensioni investeerimiskontole, misjärel saaks ta juba kasutada ka õigust vahetada päritud pensionifondi osakud kohe oma uue aktiivse pensionifondi osakute vastu või omandada neid osakuid päritud pensioni investeerimiskontol oleva raha eest.</w:t>
      </w:r>
    </w:p>
    <w:p w14:paraId="10C180EF" w14:textId="6A7C00ED" w:rsidR="006A1E38" w:rsidRDefault="006A1E38" w:rsidP="00D32BED">
      <w:pPr>
        <w:jc w:val="both"/>
        <w:rPr>
          <w:rFonts w:ascii="Times New Roman" w:hAnsi="Times New Roman"/>
          <w:lang w:val="et-EE"/>
        </w:rPr>
      </w:pPr>
    </w:p>
    <w:p w14:paraId="32CD5CFC" w14:textId="37F96040" w:rsidR="006A1E38" w:rsidRPr="006A1E38" w:rsidRDefault="006A1E38" w:rsidP="00D32BED">
      <w:pPr>
        <w:jc w:val="both"/>
        <w:rPr>
          <w:rFonts w:ascii="Times New Roman" w:hAnsi="Times New Roman"/>
          <w:lang w:val="et-EE"/>
        </w:rPr>
      </w:pPr>
      <w:r w:rsidRPr="006A1E38">
        <w:rPr>
          <w:rFonts w:ascii="Times New Roman" w:hAnsi="Times New Roman"/>
          <w:b/>
          <w:bCs/>
          <w:lang w:val="et-EE"/>
        </w:rPr>
        <w:t>KoPS § 29 lõige 1.</w:t>
      </w:r>
      <w:r>
        <w:rPr>
          <w:rFonts w:ascii="Times New Roman" w:hAnsi="Times New Roman"/>
          <w:lang w:val="et-EE"/>
        </w:rPr>
        <w:t xml:space="preserve"> Paragrahv reguleerib k</w:t>
      </w:r>
      <w:r w:rsidRPr="006A1E38">
        <w:rPr>
          <w:rFonts w:ascii="Times New Roman" w:hAnsi="Times New Roman"/>
          <w:lang w:val="et-EE"/>
        </w:rPr>
        <w:t>ohustusliku kogumispensioni vara ülekandmi</w:t>
      </w:r>
      <w:r>
        <w:rPr>
          <w:rFonts w:ascii="Times New Roman" w:hAnsi="Times New Roman"/>
          <w:lang w:val="et-EE"/>
        </w:rPr>
        <w:t>st</w:t>
      </w:r>
      <w:r w:rsidRPr="006A1E38">
        <w:rPr>
          <w:rFonts w:ascii="Times New Roman" w:hAnsi="Times New Roman"/>
          <w:lang w:val="et-EE"/>
        </w:rPr>
        <w:t xml:space="preserve"> pärijale</w:t>
      </w:r>
      <w:r>
        <w:rPr>
          <w:rFonts w:ascii="Times New Roman" w:hAnsi="Times New Roman"/>
          <w:lang w:val="et-EE"/>
        </w:rPr>
        <w:t xml:space="preserve">. Eelnõuga antakse lõikele 1 uus </w:t>
      </w:r>
      <w:r w:rsidRPr="006A1E38">
        <w:rPr>
          <w:rFonts w:ascii="Times New Roman" w:hAnsi="Times New Roman"/>
          <w:lang w:val="et-EE"/>
        </w:rPr>
        <w:t>sõnast</w:t>
      </w:r>
      <w:r>
        <w:rPr>
          <w:rFonts w:ascii="Times New Roman" w:hAnsi="Times New Roman"/>
          <w:lang w:val="et-EE"/>
        </w:rPr>
        <w:t xml:space="preserve">us. </w:t>
      </w:r>
      <w:r w:rsidRPr="006A1E38">
        <w:rPr>
          <w:rFonts w:ascii="Times New Roman" w:hAnsi="Times New Roman"/>
          <w:lang w:val="et-EE"/>
        </w:rPr>
        <w:t>Sätestatakse, et päritud kohustusliku kogumispensioni vara ülekandmist võib taotleda pärija, kellele on avatud KoPS § 17 kohaselt pensionikonto. Kui päritud II samba vara saavad rahas välja võtta kõik pärijad, siis päritud vara oma II sambasse võtta saavad siiski need inimesed, kes on II sambaga liitunud ehk, kellele on avatud selleks pensionikonto. Võrreldes kehtiva seadusega on loobutud eraldi punktidest, mis kirjelda</w:t>
      </w:r>
      <w:r>
        <w:rPr>
          <w:rFonts w:ascii="Times New Roman" w:hAnsi="Times New Roman"/>
          <w:lang w:val="et-EE"/>
        </w:rPr>
        <w:t>vad erinevaid</w:t>
      </w:r>
      <w:r w:rsidRPr="006A1E38">
        <w:rPr>
          <w:rFonts w:ascii="Times New Roman" w:hAnsi="Times New Roman"/>
          <w:lang w:val="et-EE"/>
        </w:rPr>
        <w:t xml:space="preserve"> pensionikonto omamise </w:t>
      </w:r>
      <w:r>
        <w:rPr>
          <w:rFonts w:ascii="Times New Roman" w:hAnsi="Times New Roman"/>
          <w:lang w:val="et-EE"/>
        </w:rPr>
        <w:t>võimalusi</w:t>
      </w:r>
      <w:r w:rsidRPr="006A1E38">
        <w:rPr>
          <w:rFonts w:ascii="Times New Roman" w:hAnsi="Times New Roman"/>
          <w:lang w:val="et-EE"/>
        </w:rPr>
        <w:t>. Nüüd, kus II sambaga võivad liituda kõik, kes seda soovivad, ei ole need punktid selliselt enam vajalikud. Piisab asjaolust, et isikule on II samba pärast pensionikonto avatud</w:t>
      </w:r>
      <w:r>
        <w:rPr>
          <w:rFonts w:ascii="Times New Roman" w:hAnsi="Times New Roman"/>
          <w:lang w:val="et-EE"/>
        </w:rPr>
        <w:t xml:space="preserve"> (pensionikonto avatakse ka III sambaga liitumisel, kui seda II samba puhuks juba tehtud ei ole)</w:t>
      </w:r>
      <w:r w:rsidRPr="006A1E38">
        <w:rPr>
          <w:rFonts w:ascii="Times New Roman" w:hAnsi="Times New Roman"/>
          <w:lang w:val="et-EE"/>
        </w:rPr>
        <w:t xml:space="preserve">. </w:t>
      </w:r>
    </w:p>
    <w:p w14:paraId="0B74FE26" w14:textId="77777777" w:rsidR="006A1E38" w:rsidRPr="006A1E38" w:rsidRDefault="006A1E38" w:rsidP="00D32BED">
      <w:pPr>
        <w:jc w:val="both"/>
        <w:rPr>
          <w:rFonts w:ascii="Times New Roman" w:hAnsi="Times New Roman"/>
          <w:lang w:val="et-EE"/>
        </w:rPr>
      </w:pPr>
    </w:p>
    <w:p w14:paraId="323C7577" w14:textId="61931C66" w:rsidR="006A1E38" w:rsidRPr="00A46E91" w:rsidRDefault="006A1E38" w:rsidP="00D32BED">
      <w:pPr>
        <w:jc w:val="both"/>
        <w:rPr>
          <w:rFonts w:ascii="Times New Roman" w:hAnsi="Times New Roman"/>
          <w:lang w:val="et-EE"/>
        </w:rPr>
      </w:pPr>
      <w:r w:rsidRPr="006A1E38">
        <w:rPr>
          <w:rFonts w:ascii="Times New Roman" w:hAnsi="Times New Roman"/>
          <w:lang w:val="et-EE"/>
        </w:rPr>
        <w:t>Selleks, et võtta päritud II samba vara oma aktiivsesse valikusse (pensionifond</w:t>
      </w:r>
      <w:r>
        <w:rPr>
          <w:rFonts w:ascii="Times New Roman" w:hAnsi="Times New Roman"/>
          <w:lang w:val="et-EE"/>
        </w:rPr>
        <w:t>i</w:t>
      </w:r>
      <w:r w:rsidRPr="006A1E38">
        <w:rPr>
          <w:rFonts w:ascii="Times New Roman" w:hAnsi="Times New Roman"/>
          <w:lang w:val="et-EE"/>
        </w:rPr>
        <w:t xml:space="preserve"> või pensioni investeerimiskonto</w:t>
      </w:r>
      <w:r>
        <w:rPr>
          <w:rFonts w:ascii="Times New Roman" w:hAnsi="Times New Roman"/>
          <w:lang w:val="et-EE"/>
        </w:rPr>
        <w:t>le, kuhu laekub või peaks laekuma kohustusliku kogumispensioni makse</w:t>
      </w:r>
      <w:r w:rsidRPr="006A1E38">
        <w:rPr>
          <w:rFonts w:ascii="Times New Roman" w:hAnsi="Times New Roman"/>
          <w:lang w:val="et-EE"/>
        </w:rPr>
        <w:t>), on juba olemuslikult eeltingimuseks pensionikonto olemasolu. Pensionikonto avatakse valikuavalduse esitamisel või pensionifondi loosimisel, kui avaldust pole esitatud.</w:t>
      </w:r>
    </w:p>
    <w:p w14:paraId="511ADEAD" w14:textId="63B555DD" w:rsidR="00A74A3E" w:rsidRDefault="00A74A3E" w:rsidP="00D32BED">
      <w:pPr>
        <w:pStyle w:val="Loendilik"/>
        <w:spacing w:after="0" w:line="240" w:lineRule="auto"/>
        <w:ind w:left="0"/>
        <w:jc w:val="both"/>
        <w:rPr>
          <w:rFonts w:ascii="Times New Roman" w:hAnsi="Times New Roman"/>
          <w:sz w:val="24"/>
          <w:szCs w:val="24"/>
        </w:rPr>
      </w:pPr>
    </w:p>
    <w:p w14:paraId="47258CEC" w14:textId="77777777" w:rsidR="00CC71D8" w:rsidRDefault="006A1E38" w:rsidP="00D32BED">
      <w:pPr>
        <w:pStyle w:val="Loendilik"/>
        <w:spacing w:after="0" w:line="240" w:lineRule="auto"/>
        <w:ind w:left="0"/>
        <w:jc w:val="both"/>
        <w:rPr>
          <w:rFonts w:ascii="Times New Roman" w:hAnsi="Times New Roman"/>
          <w:sz w:val="24"/>
          <w:szCs w:val="24"/>
        </w:rPr>
      </w:pPr>
      <w:r w:rsidRPr="006A1E38">
        <w:rPr>
          <w:rFonts w:ascii="Times New Roman" w:hAnsi="Times New Roman"/>
          <w:b/>
          <w:bCs/>
          <w:sz w:val="24"/>
          <w:szCs w:val="24"/>
        </w:rPr>
        <w:t>KoPS § 31.</w:t>
      </w:r>
      <w:r>
        <w:rPr>
          <w:rFonts w:ascii="Times New Roman" w:hAnsi="Times New Roman"/>
          <w:sz w:val="24"/>
          <w:szCs w:val="24"/>
        </w:rPr>
        <w:t xml:space="preserve"> Paragrahv reguleerib II samba vara pärimisega seonduvat p</w:t>
      </w:r>
      <w:r w:rsidRPr="006A1E38">
        <w:rPr>
          <w:rFonts w:ascii="Times New Roman" w:hAnsi="Times New Roman"/>
          <w:sz w:val="24"/>
          <w:szCs w:val="24"/>
        </w:rPr>
        <w:t>ensionifondi osakute ülekandmise ja väljamakse tegemise kord</w:t>
      </w:r>
      <w:r>
        <w:rPr>
          <w:rFonts w:ascii="Times New Roman" w:hAnsi="Times New Roman"/>
          <w:sz w:val="24"/>
          <w:szCs w:val="24"/>
        </w:rPr>
        <w:t>a.</w:t>
      </w:r>
      <w:r w:rsidR="00CC71D8">
        <w:rPr>
          <w:rFonts w:ascii="Times New Roman" w:hAnsi="Times New Roman"/>
          <w:sz w:val="24"/>
          <w:szCs w:val="24"/>
        </w:rPr>
        <w:t xml:space="preserve"> Tulenevalt pärija valikute laiendamisest (uute tehingute lisandumine) muudetakse eelnõuga </w:t>
      </w:r>
      <w:r w:rsidR="00CC71D8" w:rsidRPr="00CC71D8">
        <w:rPr>
          <w:rFonts w:ascii="Times New Roman" w:hAnsi="Times New Roman"/>
          <w:sz w:val="24"/>
          <w:szCs w:val="24"/>
          <w:u w:val="single"/>
        </w:rPr>
        <w:t>paragrahvi pealkirja</w:t>
      </w:r>
      <w:r w:rsidR="00CC71D8">
        <w:rPr>
          <w:rFonts w:ascii="Times New Roman" w:hAnsi="Times New Roman"/>
          <w:sz w:val="24"/>
          <w:szCs w:val="24"/>
        </w:rPr>
        <w:t>. Uueks pealkirjaks saab „</w:t>
      </w:r>
      <w:r w:rsidR="00CC71D8" w:rsidRPr="00CC71D8">
        <w:rPr>
          <w:rFonts w:ascii="Times New Roman" w:hAnsi="Times New Roman"/>
          <w:sz w:val="24"/>
          <w:szCs w:val="24"/>
        </w:rPr>
        <w:t>Pensionifondi osakute ülekandmise ja vahetamise, päritud raha ülekandmise ja selle eest pensionifondi osakute omandamise ning väljamakse tegemise kord“</w:t>
      </w:r>
      <w:r w:rsidR="00CC71D8">
        <w:rPr>
          <w:rFonts w:ascii="Times New Roman" w:hAnsi="Times New Roman"/>
          <w:sz w:val="24"/>
          <w:szCs w:val="24"/>
        </w:rPr>
        <w:t xml:space="preserve">. </w:t>
      </w:r>
      <w:r w:rsidR="00CC71D8" w:rsidRPr="00CC71D8">
        <w:rPr>
          <w:rFonts w:ascii="Times New Roman" w:hAnsi="Times New Roman"/>
          <w:sz w:val="24"/>
          <w:szCs w:val="24"/>
        </w:rPr>
        <w:t xml:space="preserve">Lisaks pensionifondi </w:t>
      </w:r>
      <w:r w:rsidR="00CC71D8" w:rsidRPr="00CC71D8">
        <w:rPr>
          <w:rFonts w:ascii="Times New Roman" w:hAnsi="Times New Roman"/>
          <w:sz w:val="24"/>
          <w:szCs w:val="24"/>
        </w:rPr>
        <w:lastRenderedPageBreak/>
        <w:t xml:space="preserve">osakute ülekandmisele ja väljamakse tegemisele viidatakse </w:t>
      </w:r>
      <w:r w:rsidR="00CC71D8">
        <w:rPr>
          <w:rFonts w:ascii="Times New Roman" w:hAnsi="Times New Roman"/>
          <w:sz w:val="24"/>
          <w:szCs w:val="24"/>
        </w:rPr>
        <w:t>pealkirjas</w:t>
      </w:r>
      <w:r w:rsidR="00CC71D8" w:rsidRPr="00CC71D8">
        <w:rPr>
          <w:rFonts w:ascii="Times New Roman" w:hAnsi="Times New Roman"/>
          <w:sz w:val="24"/>
          <w:szCs w:val="24"/>
        </w:rPr>
        <w:t xml:space="preserve"> nüüd ka vahetamisele ja päritud raha ülekandmisele.</w:t>
      </w:r>
    </w:p>
    <w:p w14:paraId="2A465B7E" w14:textId="77777777" w:rsidR="00CC71D8" w:rsidRDefault="00CC71D8" w:rsidP="00D32BED">
      <w:pPr>
        <w:pStyle w:val="Loendilik"/>
        <w:spacing w:after="0" w:line="240" w:lineRule="auto"/>
        <w:ind w:left="0"/>
        <w:jc w:val="both"/>
        <w:rPr>
          <w:rFonts w:ascii="Times New Roman" w:hAnsi="Times New Roman"/>
          <w:sz w:val="24"/>
          <w:szCs w:val="24"/>
        </w:rPr>
      </w:pPr>
    </w:p>
    <w:p w14:paraId="5ADF70A1" w14:textId="77777777" w:rsidR="00CC71D8" w:rsidRDefault="00CC71D8" w:rsidP="00D32BED">
      <w:pPr>
        <w:pStyle w:val="Loendilik"/>
        <w:spacing w:after="0" w:line="240" w:lineRule="auto"/>
        <w:ind w:left="0"/>
        <w:jc w:val="both"/>
        <w:rPr>
          <w:rFonts w:ascii="Times New Roman" w:hAnsi="Times New Roman"/>
          <w:sz w:val="24"/>
          <w:szCs w:val="24"/>
        </w:rPr>
      </w:pPr>
      <w:r w:rsidRPr="00CC71D8">
        <w:rPr>
          <w:rFonts w:ascii="Times New Roman" w:hAnsi="Times New Roman"/>
          <w:sz w:val="24"/>
          <w:szCs w:val="24"/>
          <w:u w:val="single"/>
        </w:rPr>
        <w:t>Lõike 1</w:t>
      </w:r>
      <w:r w:rsidRPr="00CC71D8">
        <w:rPr>
          <w:rFonts w:ascii="Times New Roman" w:hAnsi="Times New Roman"/>
          <w:sz w:val="24"/>
          <w:szCs w:val="24"/>
        </w:rPr>
        <w:t xml:space="preserve"> kohaselt tuli </w:t>
      </w:r>
      <w:r>
        <w:rPr>
          <w:rFonts w:ascii="Times New Roman" w:hAnsi="Times New Roman"/>
          <w:sz w:val="24"/>
          <w:szCs w:val="24"/>
        </w:rPr>
        <w:t>selles</w:t>
      </w:r>
      <w:r w:rsidRPr="00CC71D8">
        <w:rPr>
          <w:rFonts w:ascii="Times New Roman" w:hAnsi="Times New Roman"/>
          <w:sz w:val="24"/>
          <w:szCs w:val="24"/>
        </w:rPr>
        <w:t xml:space="preserve"> lõikes </w:t>
      </w:r>
      <w:r>
        <w:rPr>
          <w:rFonts w:ascii="Times New Roman" w:hAnsi="Times New Roman"/>
          <w:sz w:val="24"/>
          <w:szCs w:val="24"/>
        </w:rPr>
        <w:t>nimetatud</w:t>
      </w:r>
      <w:r w:rsidRPr="00CC71D8">
        <w:rPr>
          <w:rFonts w:ascii="Times New Roman" w:hAnsi="Times New Roman"/>
          <w:sz w:val="24"/>
          <w:szCs w:val="24"/>
        </w:rPr>
        <w:t xml:space="preserve"> avaldus kontohalduri vahendusel registripidajale esitada selleks, et kanda </w:t>
      </w:r>
      <w:r>
        <w:rPr>
          <w:rFonts w:ascii="Times New Roman" w:hAnsi="Times New Roman"/>
          <w:sz w:val="24"/>
          <w:szCs w:val="24"/>
        </w:rPr>
        <w:t xml:space="preserve">päritud </w:t>
      </w:r>
      <w:r w:rsidRPr="00CC71D8">
        <w:rPr>
          <w:rFonts w:ascii="Times New Roman" w:hAnsi="Times New Roman"/>
          <w:sz w:val="24"/>
          <w:szCs w:val="24"/>
        </w:rPr>
        <w:t xml:space="preserve">osakud pärija pensionikontole või need osakud tagasi võtta (väljamakse). </w:t>
      </w:r>
      <w:r>
        <w:rPr>
          <w:rFonts w:ascii="Times New Roman" w:hAnsi="Times New Roman"/>
          <w:sz w:val="24"/>
          <w:szCs w:val="24"/>
        </w:rPr>
        <w:t>Eelnõuga</w:t>
      </w:r>
      <w:r w:rsidRPr="00CC71D8">
        <w:rPr>
          <w:rFonts w:ascii="Times New Roman" w:hAnsi="Times New Roman"/>
          <w:sz w:val="24"/>
          <w:szCs w:val="24"/>
        </w:rPr>
        <w:t xml:space="preserve"> lisandub sellele avaldusele ka vahetami</w:t>
      </w:r>
      <w:r>
        <w:rPr>
          <w:rFonts w:ascii="Times New Roman" w:hAnsi="Times New Roman"/>
          <w:sz w:val="24"/>
          <w:szCs w:val="24"/>
        </w:rPr>
        <w:t>s</w:t>
      </w:r>
      <w:r w:rsidRPr="00CC71D8">
        <w:rPr>
          <w:rFonts w:ascii="Times New Roman" w:hAnsi="Times New Roman"/>
          <w:sz w:val="24"/>
          <w:szCs w:val="24"/>
        </w:rPr>
        <w:t>e</w:t>
      </w:r>
      <w:r>
        <w:rPr>
          <w:rFonts w:ascii="Times New Roman" w:hAnsi="Times New Roman"/>
          <w:sz w:val="24"/>
          <w:szCs w:val="24"/>
        </w:rPr>
        <w:t xml:space="preserve"> võimalus</w:t>
      </w:r>
      <w:r w:rsidRPr="00CC71D8">
        <w:rPr>
          <w:rFonts w:ascii="Times New Roman" w:hAnsi="Times New Roman"/>
          <w:sz w:val="24"/>
          <w:szCs w:val="24"/>
        </w:rPr>
        <w:t xml:space="preserve">, millega pärija </w:t>
      </w:r>
      <w:r>
        <w:rPr>
          <w:rFonts w:ascii="Times New Roman" w:hAnsi="Times New Roman"/>
          <w:sz w:val="24"/>
          <w:szCs w:val="24"/>
        </w:rPr>
        <w:t>saab</w:t>
      </w:r>
      <w:r w:rsidRPr="00CC71D8">
        <w:rPr>
          <w:rFonts w:ascii="Times New Roman" w:hAnsi="Times New Roman"/>
          <w:sz w:val="24"/>
          <w:szCs w:val="24"/>
        </w:rPr>
        <w:t xml:space="preserve"> surnud isiku pensionifondi osakud </w:t>
      </w:r>
      <w:r>
        <w:rPr>
          <w:rFonts w:ascii="Times New Roman" w:hAnsi="Times New Roman"/>
          <w:sz w:val="24"/>
          <w:szCs w:val="24"/>
        </w:rPr>
        <w:t xml:space="preserve">koheselt </w:t>
      </w:r>
      <w:r w:rsidRPr="00CC71D8">
        <w:rPr>
          <w:rFonts w:ascii="Times New Roman" w:hAnsi="Times New Roman"/>
          <w:sz w:val="24"/>
          <w:szCs w:val="24"/>
        </w:rPr>
        <w:t>vahetada selle pensionifondi osakute vastu või mille tagasivõtmisel saadud raha ta s</w:t>
      </w:r>
      <w:r>
        <w:rPr>
          <w:rFonts w:ascii="Times New Roman" w:hAnsi="Times New Roman"/>
          <w:sz w:val="24"/>
          <w:szCs w:val="24"/>
        </w:rPr>
        <w:t>aab</w:t>
      </w:r>
      <w:r w:rsidRPr="00CC71D8">
        <w:rPr>
          <w:rFonts w:ascii="Times New Roman" w:hAnsi="Times New Roman"/>
          <w:sz w:val="24"/>
          <w:szCs w:val="24"/>
        </w:rPr>
        <w:t xml:space="preserve"> kanda oma pensioni investeerimiskontole, kuhu laekub või peaks laekuma tema kogumispensioni makse. Sellest tulenevalt muudetakse lõike 1 preambulat ja lisatakse sinna viide vahetamisele. </w:t>
      </w:r>
    </w:p>
    <w:p w14:paraId="538F6C84" w14:textId="77777777" w:rsidR="00CC71D8" w:rsidRDefault="00CC71D8" w:rsidP="00D32BED">
      <w:pPr>
        <w:pStyle w:val="Loendilik"/>
        <w:spacing w:after="0" w:line="240" w:lineRule="auto"/>
        <w:ind w:left="0"/>
        <w:jc w:val="both"/>
        <w:rPr>
          <w:rFonts w:ascii="Times New Roman" w:hAnsi="Times New Roman"/>
          <w:sz w:val="24"/>
          <w:szCs w:val="24"/>
        </w:rPr>
      </w:pPr>
    </w:p>
    <w:p w14:paraId="0CF6F1F8" w14:textId="77777777" w:rsidR="00CC71D8" w:rsidRDefault="00CC71D8" w:rsidP="00D32BED">
      <w:pPr>
        <w:pStyle w:val="Loendilik"/>
        <w:spacing w:after="0" w:line="240" w:lineRule="auto"/>
        <w:ind w:left="0"/>
        <w:jc w:val="both"/>
        <w:rPr>
          <w:rFonts w:ascii="Times New Roman" w:hAnsi="Times New Roman"/>
          <w:sz w:val="24"/>
          <w:szCs w:val="24"/>
        </w:rPr>
      </w:pPr>
      <w:r w:rsidRPr="00CC71D8">
        <w:rPr>
          <w:rFonts w:ascii="Times New Roman" w:hAnsi="Times New Roman"/>
          <w:sz w:val="24"/>
          <w:szCs w:val="24"/>
        </w:rPr>
        <w:t>Samuti lisatakse lõikesse 1 punkt 5</w:t>
      </w:r>
      <w:r w:rsidRPr="00CC71D8">
        <w:rPr>
          <w:rFonts w:ascii="Times New Roman" w:hAnsi="Times New Roman"/>
          <w:sz w:val="24"/>
          <w:szCs w:val="24"/>
          <w:vertAlign w:val="superscript"/>
        </w:rPr>
        <w:t>1</w:t>
      </w:r>
      <w:r w:rsidRPr="00CC71D8">
        <w:rPr>
          <w:rFonts w:ascii="Times New Roman" w:hAnsi="Times New Roman"/>
          <w:sz w:val="24"/>
          <w:szCs w:val="24"/>
        </w:rPr>
        <w:t>, mille kohaselt tuleb avaldusel märkida iga pensionifondi nimetus, mille osakuid pärija soovib vahetada ja nende osakute arv. Oluline on, et pärija võib korraga kasutada ka mitut valikut, st võtta osa raha välja, võtta osa päritud pensionifondi osakuid lihtsalt oma pensionikontole ja vahetada osa neist oma aktiivsesse pensionifondi või liigutada osa sellest rahast oma pensioni investeerimiskontole, kui tema makse laekub või peaks laekuma sinna. Ka kehtiva seaduse kohaselt saab korraga nii osakuid oma pensionikontole kanda kui osa raha välja võtta. Seepärast on avaldusel</w:t>
      </w:r>
      <w:r>
        <w:rPr>
          <w:rFonts w:ascii="Times New Roman" w:hAnsi="Times New Roman"/>
          <w:sz w:val="24"/>
          <w:szCs w:val="24"/>
        </w:rPr>
        <w:t xml:space="preserve"> ka ette nähtud</w:t>
      </w:r>
      <w:r w:rsidRPr="00CC71D8">
        <w:rPr>
          <w:rFonts w:ascii="Times New Roman" w:hAnsi="Times New Roman"/>
          <w:sz w:val="24"/>
          <w:szCs w:val="24"/>
        </w:rPr>
        <w:t xml:space="preserve"> eraldi andmeväljad erinevate valikute jaoks.  </w:t>
      </w:r>
    </w:p>
    <w:p w14:paraId="323419D0" w14:textId="77777777" w:rsidR="00CC71D8" w:rsidRDefault="00CC71D8" w:rsidP="00D32BED">
      <w:pPr>
        <w:pStyle w:val="Loendilik"/>
        <w:spacing w:after="0" w:line="240" w:lineRule="auto"/>
        <w:ind w:left="0"/>
        <w:jc w:val="both"/>
        <w:rPr>
          <w:rFonts w:ascii="Times New Roman" w:hAnsi="Times New Roman"/>
          <w:sz w:val="24"/>
          <w:szCs w:val="24"/>
        </w:rPr>
      </w:pPr>
    </w:p>
    <w:p w14:paraId="2480B70F" w14:textId="77777777" w:rsidR="00CC71D8" w:rsidRDefault="00CC71D8" w:rsidP="00D32BED">
      <w:pPr>
        <w:pStyle w:val="Loendilik"/>
        <w:spacing w:after="0" w:line="240" w:lineRule="auto"/>
        <w:ind w:left="0"/>
        <w:jc w:val="both"/>
        <w:rPr>
          <w:rFonts w:ascii="Times New Roman" w:hAnsi="Times New Roman"/>
          <w:sz w:val="24"/>
          <w:szCs w:val="24"/>
        </w:rPr>
      </w:pPr>
      <w:r w:rsidRPr="00CC71D8">
        <w:rPr>
          <w:rFonts w:ascii="Times New Roman" w:hAnsi="Times New Roman"/>
          <w:sz w:val="24"/>
          <w:szCs w:val="24"/>
          <w:u w:val="single"/>
        </w:rPr>
        <w:t>Lõike 3 esimesse lausesse</w:t>
      </w:r>
      <w:r w:rsidRPr="00CC71D8">
        <w:rPr>
          <w:rFonts w:ascii="Times New Roman" w:hAnsi="Times New Roman"/>
          <w:sz w:val="24"/>
          <w:szCs w:val="24"/>
        </w:rPr>
        <w:t xml:space="preserve"> lisatakse samuti viide vahetamisele. Lisaks osakute tagasivõtmisele või pärija pensionikontole kandmisele korraldab registripidaja seega ka osakute vahetamise ja seda kolme tööpäeva jooksul lõikes 1 sätestatud dokumentide saamisest arvates.</w:t>
      </w:r>
    </w:p>
    <w:p w14:paraId="655AF93A" w14:textId="77777777" w:rsidR="00CC71D8" w:rsidRDefault="00CC71D8" w:rsidP="00D32BED">
      <w:pPr>
        <w:pStyle w:val="Loendilik"/>
        <w:spacing w:after="0" w:line="240" w:lineRule="auto"/>
        <w:ind w:left="0"/>
        <w:jc w:val="both"/>
        <w:rPr>
          <w:rFonts w:ascii="Times New Roman" w:hAnsi="Times New Roman"/>
          <w:sz w:val="24"/>
          <w:szCs w:val="24"/>
        </w:rPr>
      </w:pPr>
    </w:p>
    <w:p w14:paraId="758383F3" w14:textId="77777777" w:rsidR="00CC71D8" w:rsidRDefault="00CC71D8" w:rsidP="00D32BED">
      <w:pPr>
        <w:pStyle w:val="Loendilik"/>
        <w:spacing w:after="0" w:line="240" w:lineRule="auto"/>
        <w:ind w:left="0"/>
        <w:jc w:val="both"/>
        <w:rPr>
          <w:rFonts w:ascii="Times New Roman" w:hAnsi="Times New Roman"/>
          <w:sz w:val="24"/>
          <w:szCs w:val="24"/>
        </w:rPr>
      </w:pPr>
      <w:r w:rsidRPr="00CC71D8">
        <w:rPr>
          <w:rFonts w:ascii="Times New Roman" w:hAnsi="Times New Roman"/>
          <w:sz w:val="24"/>
          <w:szCs w:val="24"/>
          <w:u w:val="single"/>
        </w:rPr>
        <w:t>Lisatavas lõikes 3</w:t>
      </w:r>
      <w:r w:rsidRPr="00CC71D8">
        <w:rPr>
          <w:rFonts w:ascii="Times New Roman" w:hAnsi="Times New Roman"/>
          <w:sz w:val="24"/>
          <w:szCs w:val="24"/>
          <w:u w:val="single"/>
          <w:vertAlign w:val="superscript"/>
        </w:rPr>
        <w:t>1</w:t>
      </w:r>
      <w:r>
        <w:rPr>
          <w:rFonts w:ascii="Times New Roman" w:hAnsi="Times New Roman"/>
          <w:sz w:val="24"/>
          <w:szCs w:val="24"/>
        </w:rPr>
        <w:t xml:space="preserve"> </w:t>
      </w:r>
      <w:r w:rsidRPr="00CC71D8">
        <w:rPr>
          <w:rFonts w:ascii="Times New Roman" w:hAnsi="Times New Roman"/>
          <w:sz w:val="24"/>
          <w:szCs w:val="24"/>
        </w:rPr>
        <w:t>reguleeritakse olukorda, kus selle pensionifondi, mille osakuid pärija soovib vahetada või millest ta soovib väljamakset saada, osakute tagasivõtmine on investeerimisfondide seaduse § 57 või 173 alusel peatatud. Sellisel juhul jääb vastav tehing ootele ja registripidaja korraldab vastavalt pärijale väljamakse tegemise või osakute vahetamise esimesel võimalusel pärast nende takistavate asjaolude äralangemist.</w:t>
      </w:r>
    </w:p>
    <w:p w14:paraId="689CD677" w14:textId="77777777" w:rsidR="00CC71D8" w:rsidRDefault="00CC71D8" w:rsidP="00D32BED">
      <w:pPr>
        <w:pStyle w:val="Loendilik"/>
        <w:spacing w:after="0" w:line="240" w:lineRule="auto"/>
        <w:ind w:left="0"/>
        <w:jc w:val="both"/>
        <w:rPr>
          <w:rFonts w:ascii="Times New Roman" w:hAnsi="Times New Roman"/>
          <w:sz w:val="24"/>
          <w:szCs w:val="24"/>
        </w:rPr>
      </w:pPr>
    </w:p>
    <w:p w14:paraId="6CA80FD5" w14:textId="77777777" w:rsidR="00CC71D8" w:rsidRDefault="00CC71D8" w:rsidP="00D32BED">
      <w:pPr>
        <w:pStyle w:val="Loendilik"/>
        <w:spacing w:after="0" w:line="240" w:lineRule="auto"/>
        <w:ind w:left="0"/>
        <w:jc w:val="both"/>
        <w:rPr>
          <w:rFonts w:ascii="Times New Roman" w:hAnsi="Times New Roman"/>
          <w:sz w:val="24"/>
          <w:szCs w:val="24"/>
        </w:rPr>
      </w:pPr>
      <w:r w:rsidRPr="00CC71D8">
        <w:rPr>
          <w:rFonts w:ascii="Times New Roman" w:hAnsi="Times New Roman"/>
          <w:sz w:val="24"/>
          <w:szCs w:val="24"/>
          <w:u w:val="single"/>
        </w:rPr>
        <w:t>Lõike 4 neljandasse lausesse</w:t>
      </w:r>
      <w:r w:rsidRPr="00CC71D8">
        <w:rPr>
          <w:rFonts w:ascii="Times New Roman" w:hAnsi="Times New Roman"/>
          <w:sz w:val="24"/>
          <w:szCs w:val="24"/>
        </w:rPr>
        <w:t xml:space="preserve"> lisatakse samuti viide vahetamisele. Antud lõige reguleerib avalduse täitmisest keeldumist registripidaja poolt. Registripidaja teavitab keeldumisest ja selle põhjustest kontohaldurit, kellel omakorda tuleb sellest viivitamata teavitada avalduse esitanud isikut (pärija). Selleks, et väljamakse saada või päritud pensionifondi osakud oma pensionikontole kanda, tuleb pärijal esitada uus nõuetekohane avaldus. Sama hakkab kehtima ka päritud pensionifondi osakute vahetamise puhul – selleks, et vahetamise tehingu saaks teha, tuleb pärijal esitada uus avaldus. </w:t>
      </w:r>
    </w:p>
    <w:p w14:paraId="39C1F2D0" w14:textId="77777777" w:rsidR="00CC71D8" w:rsidRDefault="00CC71D8" w:rsidP="00D32BED">
      <w:pPr>
        <w:pStyle w:val="Loendilik"/>
        <w:spacing w:after="0" w:line="240" w:lineRule="auto"/>
        <w:ind w:left="0"/>
        <w:jc w:val="both"/>
        <w:rPr>
          <w:rFonts w:ascii="Times New Roman" w:hAnsi="Times New Roman"/>
          <w:sz w:val="24"/>
          <w:szCs w:val="24"/>
        </w:rPr>
      </w:pPr>
    </w:p>
    <w:p w14:paraId="2BC41E6A" w14:textId="77777777" w:rsidR="00CC71D8" w:rsidRDefault="00CC71D8" w:rsidP="00D32BED">
      <w:pPr>
        <w:pStyle w:val="Loendilik"/>
        <w:spacing w:after="0" w:line="240" w:lineRule="auto"/>
        <w:ind w:left="0"/>
        <w:jc w:val="both"/>
        <w:rPr>
          <w:rFonts w:ascii="Times New Roman" w:hAnsi="Times New Roman"/>
          <w:sz w:val="24"/>
          <w:szCs w:val="24"/>
        </w:rPr>
      </w:pPr>
      <w:r w:rsidRPr="00CC71D8">
        <w:rPr>
          <w:rFonts w:ascii="Times New Roman" w:hAnsi="Times New Roman"/>
          <w:sz w:val="24"/>
          <w:szCs w:val="24"/>
          <w:u w:val="single"/>
        </w:rPr>
        <w:t>Lõigetele 4</w:t>
      </w:r>
      <w:r w:rsidRPr="00CC71D8">
        <w:rPr>
          <w:rFonts w:ascii="Times New Roman" w:hAnsi="Times New Roman"/>
          <w:sz w:val="24"/>
          <w:szCs w:val="24"/>
          <w:u w:val="single"/>
          <w:vertAlign w:val="superscript"/>
        </w:rPr>
        <w:t>1</w:t>
      </w:r>
      <w:r w:rsidRPr="00CC71D8">
        <w:rPr>
          <w:rFonts w:ascii="Times New Roman" w:hAnsi="Times New Roman"/>
          <w:sz w:val="24"/>
          <w:szCs w:val="24"/>
          <w:u w:val="single"/>
        </w:rPr>
        <w:t xml:space="preserve"> ja 4</w:t>
      </w:r>
      <w:r w:rsidRPr="00CC71D8">
        <w:rPr>
          <w:rFonts w:ascii="Times New Roman" w:hAnsi="Times New Roman"/>
          <w:sz w:val="24"/>
          <w:szCs w:val="24"/>
          <w:u w:val="single"/>
          <w:vertAlign w:val="superscript"/>
        </w:rPr>
        <w:t>2</w:t>
      </w:r>
      <w:r w:rsidRPr="00CC71D8">
        <w:rPr>
          <w:rFonts w:ascii="Times New Roman" w:hAnsi="Times New Roman"/>
          <w:sz w:val="24"/>
          <w:szCs w:val="24"/>
        </w:rPr>
        <w:t xml:space="preserve"> antakse</w:t>
      </w:r>
      <w:r>
        <w:rPr>
          <w:rFonts w:ascii="Times New Roman" w:hAnsi="Times New Roman"/>
          <w:sz w:val="24"/>
          <w:szCs w:val="24"/>
        </w:rPr>
        <w:t xml:space="preserve"> eelnõuga </w:t>
      </w:r>
      <w:r w:rsidRPr="00CC71D8">
        <w:rPr>
          <w:rFonts w:ascii="Times New Roman" w:hAnsi="Times New Roman"/>
          <w:sz w:val="24"/>
          <w:szCs w:val="24"/>
        </w:rPr>
        <w:t xml:space="preserve">uus sõnastus. Lõiked reguleerivad olukorda, kus pärandvara sisaldab pensioni investeerimiskontol olevat raha. Sellisel juhul ei esitata avaldust registripidajale, aga pärijal tuleb vastav avaldus teha surnud isikule pensioni investeerimiskonto avanud </w:t>
      </w:r>
      <w:r>
        <w:rPr>
          <w:rFonts w:ascii="Times New Roman" w:hAnsi="Times New Roman"/>
          <w:sz w:val="24"/>
          <w:szCs w:val="24"/>
        </w:rPr>
        <w:t>krediidiasutusele</w:t>
      </w:r>
      <w:r w:rsidRPr="00CC71D8">
        <w:rPr>
          <w:rFonts w:ascii="Times New Roman" w:hAnsi="Times New Roman"/>
          <w:sz w:val="24"/>
          <w:szCs w:val="24"/>
        </w:rPr>
        <w:t xml:space="preserve">. Pensioni investeerimiskontol oleva raha pärijale väljamaksmise korraldab registripidaja viie tööpäeva jooksul pärast seda, kui ta on saanud </w:t>
      </w:r>
      <w:r>
        <w:rPr>
          <w:rFonts w:ascii="Times New Roman" w:hAnsi="Times New Roman"/>
          <w:sz w:val="24"/>
          <w:szCs w:val="24"/>
        </w:rPr>
        <w:t>krediidiasutuselt</w:t>
      </w:r>
      <w:r w:rsidRPr="00CC71D8">
        <w:rPr>
          <w:rFonts w:ascii="Times New Roman" w:hAnsi="Times New Roman"/>
          <w:sz w:val="24"/>
          <w:szCs w:val="24"/>
        </w:rPr>
        <w:t xml:space="preserve"> vajalikud andmed (</w:t>
      </w:r>
      <w:r>
        <w:rPr>
          <w:rFonts w:ascii="Times New Roman" w:hAnsi="Times New Roman"/>
          <w:sz w:val="24"/>
          <w:szCs w:val="24"/>
        </w:rPr>
        <w:t xml:space="preserve">so </w:t>
      </w:r>
      <w:r w:rsidRPr="00CC71D8">
        <w:rPr>
          <w:rFonts w:ascii="Times New Roman" w:hAnsi="Times New Roman"/>
          <w:sz w:val="24"/>
          <w:szCs w:val="24"/>
        </w:rPr>
        <w:t>lõikes 4</w:t>
      </w:r>
      <w:r w:rsidRPr="00CC71D8">
        <w:rPr>
          <w:rFonts w:ascii="Times New Roman" w:hAnsi="Times New Roman"/>
          <w:sz w:val="24"/>
          <w:szCs w:val="24"/>
          <w:vertAlign w:val="superscript"/>
        </w:rPr>
        <w:t>2</w:t>
      </w:r>
      <w:r w:rsidRPr="00CC71D8">
        <w:rPr>
          <w:rFonts w:ascii="Times New Roman" w:hAnsi="Times New Roman"/>
          <w:sz w:val="24"/>
          <w:szCs w:val="24"/>
        </w:rPr>
        <w:t xml:space="preserve"> sätestatud andmed). </w:t>
      </w:r>
      <w:r>
        <w:rPr>
          <w:rFonts w:ascii="Times New Roman" w:hAnsi="Times New Roman"/>
          <w:sz w:val="24"/>
          <w:szCs w:val="24"/>
        </w:rPr>
        <w:t>Eelnõuga</w:t>
      </w:r>
      <w:r w:rsidRPr="00CC71D8">
        <w:rPr>
          <w:rFonts w:ascii="Times New Roman" w:hAnsi="Times New Roman"/>
          <w:sz w:val="24"/>
          <w:szCs w:val="24"/>
        </w:rPr>
        <w:t xml:space="preserve"> täpsustatakse, et sama kehtib ka päritud pensioni investeerimiskontol oleva raha eest selle pensionifondi osakute väljalaskmise või raha pärija pensioni investeerimiskontole kandmise puhul, kuhu laekub või peaks laekuma pärija kogumispensioni makse.</w:t>
      </w:r>
      <w:r>
        <w:rPr>
          <w:rFonts w:ascii="Times New Roman" w:hAnsi="Times New Roman"/>
          <w:sz w:val="24"/>
          <w:szCs w:val="24"/>
        </w:rPr>
        <w:t xml:space="preserve"> </w:t>
      </w:r>
      <w:r w:rsidRPr="00CC71D8">
        <w:rPr>
          <w:rFonts w:ascii="Times New Roman" w:hAnsi="Times New Roman"/>
          <w:sz w:val="24"/>
          <w:szCs w:val="24"/>
        </w:rPr>
        <w:t>Ka lõikesse 4</w:t>
      </w:r>
      <w:r w:rsidRPr="00CC71D8">
        <w:rPr>
          <w:rFonts w:ascii="Times New Roman" w:hAnsi="Times New Roman"/>
          <w:sz w:val="24"/>
          <w:szCs w:val="24"/>
          <w:vertAlign w:val="superscript"/>
        </w:rPr>
        <w:t>2</w:t>
      </w:r>
      <w:r w:rsidRPr="00CC71D8">
        <w:rPr>
          <w:rFonts w:ascii="Times New Roman" w:hAnsi="Times New Roman"/>
          <w:sz w:val="24"/>
          <w:szCs w:val="24"/>
        </w:rPr>
        <w:t xml:space="preserve"> lisatakse viide päritud pensioni investeerimiskontol oleva raha eest  pensionifondi osakute omandamisele või pärija pensioni investeerimiskontole kandmisele ning täpsustatakse andmete loetelu, mis pensioni investeerimiskonto avanud </w:t>
      </w:r>
      <w:r>
        <w:rPr>
          <w:rFonts w:ascii="Times New Roman" w:hAnsi="Times New Roman"/>
          <w:sz w:val="24"/>
          <w:szCs w:val="24"/>
        </w:rPr>
        <w:t>krediidiasutusel</w:t>
      </w:r>
      <w:r w:rsidRPr="00CC71D8">
        <w:rPr>
          <w:rFonts w:ascii="Times New Roman" w:hAnsi="Times New Roman"/>
          <w:sz w:val="24"/>
          <w:szCs w:val="24"/>
        </w:rPr>
        <w:t xml:space="preserve"> tuleb selleks registripidajale esitada. Esitada tuleb andmed nii pärandaja kui pärija isikute kohta, pärija pangakonto number ja avalduse, mille pärija </w:t>
      </w:r>
      <w:r>
        <w:rPr>
          <w:rFonts w:ascii="Times New Roman" w:hAnsi="Times New Roman"/>
          <w:sz w:val="24"/>
          <w:szCs w:val="24"/>
        </w:rPr>
        <w:t>krediidiasutusele</w:t>
      </w:r>
      <w:r w:rsidRPr="00CC71D8">
        <w:rPr>
          <w:rFonts w:ascii="Times New Roman" w:hAnsi="Times New Roman"/>
          <w:sz w:val="24"/>
          <w:szCs w:val="24"/>
        </w:rPr>
        <w:t xml:space="preserve"> esitas, kuupäev ning summa, mille eest pärija soovib omandada </w:t>
      </w:r>
      <w:r w:rsidRPr="00CC71D8">
        <w:rPr>
          <w:rFonts w:ascii="Times New Roman" w:hAnsi="Times New Roman"/>
          <w:sz w:val="24"/>
          <w:szCs w:val="24"/>
        </w:rPr>
        <w:lastRenderedPageBreak/>
        <w:t xml:space="preserve">pensionifondi osakuid või mille ta soovib oma pensioni investeerimiskontole kanda, vastavalt sellele kumb neist on tema aktiivne valik. Esitada tuleb ka pärandaja pensioni investeerimiskonto number ja selle avanud krediidiasutuse ärinimi. Kui raha soovitakse kanda pärija pensioni investeerimiskontole, siis ka pärija pensioni investeerimiskonto nimi ja selle avanud </w:t>
      </w:r>
      <w:r>
        <w:rPr>
          <w:rFonts w:ascii="Times New Roman" w:hAnsi="Times New Roman"/>
          <w:sz w:val="24"/>
          <w:szCs w:val="24"/>
        </w:rPr>
        <w:t>krediidiasutuse</w:t>
      </w:r>
      <w:r w:rsidRPr="00CC71D8">
        <w:rPr>
          <w:rFonts w:ascii="Times New Roman" w:hAnsi="Times New Roman"/>
          <w:sz w:val="24"/>
          <w:szCs w:val="24"/>
        </w:rPr>
        <w:t xml:space="preserve"> nimi.</w:t>
      </w:r>
    </w:p>
    <w:p w14:paraId="3CFF36C5" w14:textId="77777777" w:rsidR="00CC71D8" w:rsidRDefault="00CC71D8" w:rsidP="00D32BED">
      <w:pPr>
        <w:pStyle w:val="Loendilik"/>
        <w:spacing w:after="0" w:line="240" w:lineRule="auto"/>
        <w:ind w:left="0"/>
        <w:jc w:val="both"/>
        <w:rPr>
          <w:rFonts w:ascii="Times New Roman" w:hAnsi="Times New Roman"/>
          <w:sz w:val="24"/>
          <w:szCs w:val="24"/>
        </w:rPr>
      </w:pPr>
    </w:p>
    <w:p w14:paraId="5585247C" w14:textId="6FB9539A" w:rsidR="00CC71D8" w:rsidRDefault="00CC71D8" w:rsidP="00D32BED">
      <w:pPr>
        <w:pStyle w:val="Loendilik"/>
        <w:spacing w:after="0" w:line="240" w:lineRule="auto"/>
        <w:ind w:left="0"/>
        <w:jc w:val="both"/>
        <w:rPr>
          <w:rFonts w:ascii="Times New Roman" w:hAnsi="Times New Roman"/>
          <w:sz w:val="24"/>
          <w:szCs w:val="24"/>
        </w:rPr>
      </w:pPr>
      <w:r>
        <w:rPr>
          <w:rFonts w:ascii="Times New Roman" w:hAnsi="Times New Roman"/>
          <w:sz w:val="24"/>
          <w:szCs w:val="24"/>
        </w:rPr>
        <w:t>Paragrahvi</w:t>
      </w:r>
      <w:r w:rsidRPr="00CC71D8">
        <w:rPr>
          <w:rFonts w:ascii="Times New Roman" w:hAnsi="Times New Roman"/>
          <w:sz w:val="24"/>
          <w:szCs w:val="24"/>
        </w:rPr>
        <w:t xml:space="preserve"> lisatakse uus </w:t>
      </w:r>
      <w:r w:rsidRPr="00CC71D8">
        <w:rPr>
          <w:rFonts w:ascii="Times New Roman" w:hAnsi="Times New Roman"/>
          <w:sz w:val="24"/>
          <w:szCs w:val="24"/>
          <w:u w:val="single"/>
        </w:rPr>
        <w:t>lõige 4</w:t>
      </w:r>
      <w:r w:rsidRPr="00CC71D8">
        <w:rPr>
          <w:rFonts w:ascii="Times New Roman" w:hAnsi="Times New Roman"/>
          <w:sz w:val="24"/>
          <w:szCs w:val="24"/>
          <w:u w:val="single"/>
          <w:vertAlign w:val="superscript"/>
        </w:rPr>
        <w:t>3</w:t>
      </w:r>
      <w:r w:rsidRPr="00CC71D8">
        <w:rPr>
          <w:rFonts w:ascii="Times New Roman" w:hAnsi="Times New Roman"/>
          <w:sz w:val="24"/>
          <w:szCs w:val="24"/>
        </w:rPr>
        <w:t>, milles reguleeritakse olukorda, kus selle pensionifondi osakute väljalase on investeerimisfondide seaduse kohaselt peatatud, kuhu laekub või peaks laekuma pärija kogumispensioni makse. Sellisel juhul ei ole võimalik teostada lõikes 3 nimetatud osakute vahetamise tehingut ega lõikes 4</w:t>
      </w:r>
      <w:r w:rsidRPr="00CC71D8">
        <w:rPr>
          <w:rFonts w:ascii="Times New Roman" w:hAnsi="Times New Roman"/>
          <w:sz w:val="24"/>
          <w:szCs w:val="24"/>
          <w:vertAlign w:val="superscript"/>
        </w:rPr>
        <w:t>1</w:t>
      </w:r>
      <w:r w:rsidRPr="00CC71D8">
        <w:rPr>
          <w:rFonts w:ascii="Times New Roman" w:hAnsi="Times New Roman"/>
          <w:sz w:val="24"/>
          <w:szCs w:val="24"/>
        </w:rPr>
        <w:t xml:space="preserve"> viidatud osakute väljalaskmist päritud pensioni investeerimiskontol oleva raha eest. Seega tuleb registripidajal antud juhul tehingu tegemisest keelduda ja sellest viivitamata vastavalt kontohaldurit või pensioni investeerimiskonto avanud </w:t>
      </w:r>
      <w:r>
        <w:rPr>
          <w:rFonts w:ascii="Times New Roman" w:hAnsi="Times New Roman"/>
          <w:sz w:val="24"/>
          <w:szCs w:val="24"/>
        </w:rPr>
        <w:t>krediidiasutust</w:t>
      </w:r>
      <w:r w:rsidRPr="00CC71D8">
        <w:rPr>
          <w:rFonts w:ascii="Times New Roman" w:hAnsi="Times New Roman"/>
          <w:sz w:val="24"/>
          <w:szCs w:val="24"/>
        </w:rPr>
        <w:t xml:space="preserve"> teavitada. Viimased omakorda teavitavad tehingu tegemisest keeldumisest viivitamata ka avalduse esitanud isikut (pärija). Pärijal on võimalik siis, kas jääda ootama osakute väljalaskmist takistavate asjaolude äralangemist, võtta raha välja või muuta oma aktiivset valikut, st esitada uus valikuavaldus. Kui tegemist on päritud pensionifondi osakutega, siis on pärijal võimalik ka need osakud lihtsalt oma pensionikontole võtta.    </w:t>
      </w:r>
    </w:p>
    <w:p w14:paraId="1750CA58" w14:textId="77777777" w:rsidR="00642500" w:rsidRDefault="00642500" w:rsidP="00D32BED">
      <w:pPr>
        <w:pStyle w:val="Loendilik"/>
        <w:spacing w:after="0" w:line="240" w:lineRule="auto"/>
        <w:ind w:left="0"/>
        <w:jc w:val="both"/>
        <w:rPr>
          <w:rFonts w:ascii="Times New Roman" w:hAnsi="Times New Roman"/>
          <w:sz w:val="24"/>
          <w:szCs w:val="24"/>
        </w:rPr>
      </w:pPr>
    </w:p>
    <w:p w14:paraId="6FE0E4F1" w14:textId="6D7D6E46" w:rsidR="00642500" w:rsidRDefault="00642500" w:rsidP="00D32BED">
      <w:pPr>
        <w:pStyle w:val="Loendilik"/>
        <w:spacing w:after="0" w:line="240" w:lineRule="auto"/>
        <w:ind w:left="0"/>
        <w:jc w:val="both"/>
        <w:rPr>
          <w:rFonts w:ascii="Times New Roman" w:hAnsi="Times New Roman"/>
          <w:sz w:val="24"/>
          <w:szCs w:val="24"/>
        </w:rPr>
      </w:pPr>
      <w:r w:rsidRPr="00642500">
        <w:rPr>
          <w:rFonts w:ascii="Times New Roman" w:hAnsi="Times New Roman"/>
          <w:b/>
          <w:bCs/>
          <w:sz w:val="24"/>
          <w:szCs w:val="24"/>
        </w:rPr>
        <w:t>KoPS § 46</w:t>
      </w:r>
      <w:r w:rsidRPr="00642500">
        <w:rPr>
          <w:rFonts w:ascii="Times New Roman" w:hAnsi="Times New Roman"/>
          <w:b/>
          <w:bCs/>
          <w:sz w:val="24"/>
          <w:szCs w:val="24"/>
          <w:vertAlign w:val="superscript"/>
        </w:rPr>
        <w:t>2</w:t>
      </w:r>
      <w:r w:rsidRPr="00642500">
        <w:rPr>
          <w:rFonts w:ascii="Times New Roman" w:hAnsi="Times New Roman"/>
          <w:b/>
          <w:bCs/>
          <w:sz w:val="24"/>
          <w:szCs w:val="24"/>
        </w:rPr>
        <w:t>.</w:t>
      </w:r>
      <w:r w:rsidRPr="00642500">
        <w:rPr>
          <w:rFonts w:ascii="Times New Roman" w:hAnsi="Times New Roman"/>
          <w:sz w:val="24"/>
          <w:szCs w:val="24"/>
        </w:rPr>
        <w:t xml:space="preserve"> </w:t>
      </w:r>
      <w:r>
        <w:rPr>
          <w:rFonts w:ascii="Times New Roman" w:hAnsi="Times New Roman"/>
          <w:sz w:val="24"/>
          <w:szCs w:val="24"/>
        </w:rPr>
        <w:t xml:space="preserve">Eelnõuga täiendatakse seadust uue paragrahviga, milles sätestatakse garantiiperioodiga pensionilepingu soodustatud isiku õigused. </w:t>
      </w:r>
      <w:r w:rsidRPr="00704C18">
        <w:rPr>
          <w:rFonts w:ascii="Times New Roman" w:hAnsi="Times New Roman"/>
          <w:sz w:val="24"/>
          <w:szCs w:val="24"/>
          <w:u w:val="single"/>
        </w:rPr>
        <w:t>Lõikes 1</w:t>
      </w:r>
      <w:r>
        <w:rPr>
          <w:rFonts w:ascii="Times New Roman" w:hAnsi="Times New Roman"/>
          <w:sz w:val="24"/>
          <w:szCs w:val="24"/>
        </w:rPr>
        <w:t xml:space="preserve"> korratakse üle garantiiperioodiga lepingu soodustatud isiku tavapärane õigus – so õigus </w:t>
      </w:r>
      <w:r w:rsidR="004748F0">
        <w:rPr>
          <w:rFonts w:ascii="Times New Roman" w:hAnsi="Times New Roman"/>
          <w:sz w:val="24"/>
          <w:szCs w:val="24"/>
        </w:rPr>
        <w:t xml:space="preserve">garantiiperioodi lõpuni tegemata jäänud pensionimaksete summas väljamaksele või väljamaksetele. Kas summa makstakse välja korraga või mitmes osas, on sätestatud pensionilepingu tingimustes või lepitakse pärast kindlustusvõtja surma kokku kindlustusandja ja soodustatud isiku vahel. Soodustatud isikul on õigus väljamakse(te)le sõltumata õigustest, millele viitavad sama paragrahvi lõiked 2 ja 4. </w:t>
      </w:r>
    </w:p>
    <w:p w14:paraId="493E4215" w14:textId="77777777" w:rsidR="004748F0" w:rsidRDefault="004748F0" w:rsidP="00D32BED">
      <w:pPr>
        <w:pStyle w:val="Loendilik"/>
        <w:spacing w:after="0" w:line="240" w:lineRule="auto"/>
        <w:ind w:left="0"/>
        <w:jc w:val="both"/>
        <w:rPr>
          <w:rFonts w:ascii="Times New Roman" w:hAnsi="Times New Roman"/>
          <w:sz w:val="24"/>
          <w:szCs w:val="24"/>
        </w:rPr>
      </w:pPr>
    </w:p>
    <w:p w14:paraId="381D1726" w14:textId="0E11EF54" w:rsidR="004748F0" w:rsidRDefault="004748F0" w:rsidP="00D32BED">
      <w:pPr>
        <w:pStyle w:val="Loendilik"/>
        <w:spacing w:after="0" w:line="240" w:lineRule="auto"/>
        <w:ind w:left="0"/>
        <w:jc w:val="both"/>
        <w:rPr>
          <w:rFonts w:ascii="Times New Roman" w:hAnsi="Times New Roman"/>
          <w:sz w:val="24"/>
          <w:szCs w:val="24"/>
        </w:rPr>
      </w:pPr>
      <w:r w:rsidRPr="00704C18">
        <w:rPr>
          <w:rFonts w:ascii="Times New Roman" w:hAnsi="Times New Roman"/>
          <w:sz w:val="24"/>
          <w:szCs w:val="24"/>
          <w:u w:val="single"/>
        </w:rPr>
        <w:t>Lõikega 2</w:t>
      </w:r>
      <w:r>
        <w:rPr>
          <w:rFonts w:ascii="Times New Roman" w:hAnsi="Times New Roman"/>
          <w:sz w:val="24"/>
          <w:szCs w:val="24"/>
        </w:rPr>
        <w:t xml:space="preserve"> antakse soodustatud isikule täiendav õigus kasutada summat, mis kuuluks lõike 1 kohaselt talle muidu väljamaksmisele, ka sissemaksena oma pensionifondi või pensioni investeerimiskontole, kuhu tema kogumispensioni makse laekub või viimati laekus. Õigus võtta garantiiperioodiga pensionilepingust laekuv raha väljamakse asemel oma II sambasse on neil soodustatud isikuil, kellele on II samba tõttu pensionikonto avatud. Kui pensionikonto avatakse maksete mittetasumise avalduse esitamise järgselt, on isikul pensionikonto küll olemas, kuid puudub pensionifond või pensioni investeerimiskonto, kuhu laekuvad või oleksid viimati laekunud kogumispensioni maksed. Sellisel juhul tuleb garantiiperioodiga pensionilepingust raha oma II sambasse toomiseks esitada esmalt valikuavaldus pensionifondi või pensioni investeerimiskonto määramiseks. </w:t>
      </w:r>
      <w:r w:rsidR="00C4071A">
        <w:rPr>
          <w:rFonts w:ascii="Times New Roman" w:hAnsi="Times New Roman"/>
          <w:sz w:val="24"/>
          <w:szCs w:val="24"/>
        </w:rPr>
        <w:t xml:space="preserve">Valikuavalduse esitamist saavad kasutada ka soodustatud isikud, kes ei ole varem II sambaga liitunud, kuid soovivad seda nüüd teha ja garantiiperioodiga pensionilepingust saadava summa endale II sambasse võtta. Kui soodustatud isikule tehtav väljamakse on maksustatud tulumaksuga tavapärases määras, siis raha võtmine II sambasse võimaldab tulevikus soodustatud isikul seda raha välja võtta soodsamatel maksutingimustel. Seda eeldusel, et raha võetakse välja II samba pensionieas. Nimelt on eluaegne ja vähemalt keskmiselt elada jäänud pensioni tulumaksuvabad ning lühem tähtajaline pension ja ühekordsed väljamaksed pensionieas maksustatud tulumaksuga määras 10%. Muudatus võrdsustab garantiiperioodiga pensionilepingu soodustatud isiku võimalused pensionifondi osakute või pensioni investeerimiskontol oleva raha või selle kaudu soetatud finantsvara pärijate võimalustega. Ka neil on võimalik päritud pensionivara oma II sambasse võtta. </w:t>
      </w:r>
    </w:p>
    <w:p w14:paraId="7844E357" w14:textId="77777777" w:rsidR="00C4071A" w:rsidRDefault="00C4071A" w:rsidP="00D32BED">
      <w:pPr>
        <w:pStyle w:val="Loendilik"/>
        <w:spacing w:after="0" w:line="240" w:lineRule="auto"/>
        <w:ind w:left="0"/>
        <w:jc w:val="both"/>
        <w:rPr>
          <w:rFonts w:ascii="Times New Roman" w:hAnsi="Times New Roman"/>
          <w:sz w:val="24"/>
          <w:szCs w:val="24"/>
        </w:rPr>
      </w:pPr>
    </w:p>
    <w:p w14:paraId="5EE94563" w14:textId="63C801A4" w:rsidR="00642500" w:rsidRDefault="00C4071A" w:rsidP="00C4071A">
      <w:pPr>
        <w:pStyle w:val="Loendilik"/>
        <w:spacing w:after="0" w:line="240" w:lineRule="auto"/>
        <w:ind w:left="0"/>
        <w:jc w:val="both"/>
        <w:rPr>
          <w:rFonts w:ascii="Times New Roman" w:hAnsi="Times New Roman"/>
          <w:sz w:val="24"/>
          <w:szCs w:val="24"/>
        </w:rPr>
      </w:pPr>
      <w:r w:rsidRPr="00C4071A">
        <w:rPr>
          <w:rFonts w:ascii="Times New Roman" w:hAnsi="Times New Roman"/>
          <w:sz w:val="24"/>
          <w:szCs w:val="24"/>
          <w:u w:val="single"/>
        </w:rPr>
        <w:t>Lõige 3</w:t>
      </w:r>
      <w:r>
        <w:rPr>
          <w:rFonts w:ascii="Times New Roman" w:hAnsi="Times New Roman"/>
          <w:sz w:val="24"/>
          <w:szCs w:val="24"/>
        </w:rPr>
        <w:t xml:space="preserve"> täpsustab, et lõikes 2 kehtestatud soodustatud isiku õiguse kasutamisel </w:t>
      </w:r>
      <w:bookmarkStart w:id="3" w:name="_Hlk159328424"/>
      <w:r w:rsidR="00642500" w:rsidRPr="00642500">
        <w:rPr>
          <w:rFonts w:ascii="Times New Roman" w:hAnsi="Times New Roman"/>
          <w:sz w:val="24"/>
          <w:szCs w:val="24"/>
        </w:rPr>
        <w:t>kannab kindlustusandja vastava summa registripidajale, kes</w:t>
      </w:r>
      <w:r>
        <w:rPr>
          <w:rFonts w:ascii="Times New Roman" w:hAnsi="Times New Roman"/>
          <w:sz w:val="24"/>
          <w:szCs w:val="24"/>
        </w:rPr>
        <w:t xml:space="preserve"> omakorda</w:t>
      </w:r>
      <w:r w:rsidR="00642500" w:rsidRPr="00642500">
        <w:rPr>
          <w:rFonts w:ascii="Times New Roman" w:hAnsi="Times New Roman"/>
          <w:sz w:val="24"/>
          <w:szCs w:val="24"/>
        </w:rPr>
        <w:t xml:space="preserve"> korraldab </w:t>
      </w:r>
      <w:r>
        <w:rPr>
          <w:rFonts w:ascii="Times New Roman" w:hAnsi="Times New Roman"/>
          <w:sz w:val="24"/>
          <w:szCs w:val="24"/>
        </w:rPr>
        <w:t>KoPS</w:t>
      </w:r>
      <w:r w:rsidR="00642500" w:rsidRPr="00642500">
        <w:rPr>
          <w:rFonts w:ascii="Times New Roman" w:hAnsi="Times New Roman"/>
          <w:sz w:val="24"/>
          <w:szCs w:val="24"/>
        </w:rPr>
        <w:t xml:space="preserve"> § 22 alusel </w:t>
      </w:r>
      <w:r w:rsidR="00642500" w:rsidRPr="00642500">
        <w:rPr>
          <w:rFonts w:ascii="Times New Roman" w:hAnsi="Times New Roman"/>
          <w:sz w:val="24"/>
          <w:szCs w:val="24"/>
        </w:rPr>
        <w:lastRenderedPageBreak/>
        <w:t>soodustatud isikule pensionifondi osakute väljalaskmise või raha kandmise tema pensioni investeerimiskontole.</w:t>
      </w:r>
    </w:p>
    <w:p w14:paraId="3F35A73C" w14:textId="77777777" w:rsidR="00C4071A" w:rsidRDefault="00C4071A" w:rsidP="00C4071A">
      <w:pPr>
        <w:pStyle w:val="Loendilik"/>
        <w:spacing w:after="0" w:line="240" w:lineRule="auto"/>
        <w:ind w:left="0"/>
        <w:jc w:val="both"/>
        <w:rPr>
          <w:rFonts w:ascii="Times New Roman" w:hAnsi="Times New Roman"/>
          <w:sz w:val="24"/>
          <w:szCs w:val="24"/>
        </w:rPr>
      </w:pPr>
    </w:p>
    <w:p w14:paraId="43F09D46" w14:textId="65479306" w:rsidR="00642500" w:rsidRDefault="00C4071A" w:rsidP="00D32BED">
      <w:pPr>
        <w:pStyle w:val="Loendilik"/>
        <w:spacing w:after="0" w:line="240" w:lineRule="auto"/>
        <w:ind w:left="0"/>
        <w:jc w:val="both"/>
        <w:rPr>
          <w:rFonts w:ascii="Times New Roman" w:hAnsi="Times New Roman"/>
          <w:sz w:val="24"/>
          <w:szCs w:val="24"/>
        </w:rPr>
      </w:pPr>
      <w:r>
        <w:rPr>
          <w:rFonts w:ascii="Times New Roman" w:hAnsi="Times New Roman"/>
          <w:sz w:val="24"/>
          <w:szCs w:val="24"/>
        </w:rPr>
        <w:t xml:space="preserve">Selguse huvides öeldakse </w:t>
      </w:r>
      <w:r w:rsidRPr="00BA59F0">
        <w:rPr>
          <w:rFonts w:ascii="Times New Roman" w:hAnsi="Times New Roman"/>
          <w:sz w:val="24"/>
          <w:szCs w:val="24"/>
          <w:u w:val="single"/>
        </w:rPr>
        <w:t>lõikes 4</w:t>
      </w:r>
      <w:r>
        <w:rPr>
          <w:rFonts w:ascii="Times New Roman" w:hAnsi="Times New Roman"/>
          <w:sz w:val="24"/>
          <w:szCs w:val="24"/>
        </w:rPr>
        <w:t xml:space="preserve"> üle ka, et kui soodustatud isik ise on ka juba pensionil ja tal on sõlmitud </w:t>
      </w:r>
      <w:r w:rsidR="00642500" w:rsidRPr="00642500">
        <w:rPr>
          <w:rFonts w:ascii="Times New Roman" w:hAnsi="Times New Roman"/>
          <w:sz w:val="24"/>
          <w:szCs w:val="24"/>
        </w:rPr>
        <w:t xml:space="preserve">pensionileping, on tal </w:t>
      </w:r>
      <w:r>
        <w:rPr>
          <w:rFonts w:ascii="Times New Roman" w:hAnsi="Times New Roman"/>
          <w:sz w:val="24"/>
          <w:szCs w:val="24"/>
        </w:rPr>
        <w:t>garantiiperioodiga pensionilepingu kindlustusvõtja surma korral saadavat</w:t>
      </w:r>
      <w:r w:rsidR="00642500" w:rsidRPr="00642500">
        <w:rPr>
          <w:rFonts w:ascii="Times New Roman" w:hAnsi="Times New Roman"/>
          <w:sz w:val="24"/>
          <w:szCs w:val="24"/>
        </w:rPr>
        <w:t xml:space="preserve"> summat õigus kasutada ka</w:t>
      </w:r>
      <w:r>
        <w:rPr>
          <w:rFonts w:ascii="Times New Roman" w:hAnsi="Times New Roman"/>
          <w:sz w:val="24"/>
          <w:szCs w:val="24"/>
        </w:rPr>
        <w:t xml:space="preserve"> oma pensionilepingusse täiendava kindlustusmakse tasumiseks</w:t>
      </w:r>
      <w:r w:rsidR="00BA59F0">
        <w:rPr>
          <w:rFonts w:ascii="Times New Roman" w:hAnsi="Times New Roman"/>
          <w:sz w:val="24"/>
          <w:szCs w:val="24"/>
        </w:rPr>
        <w:t>. Selline õigus on soodustatud isikul juba kehtiva seaduse kohaselt</w:t>
      </w:r>
      <w:r>
        <w:rPr>
          <w:rFonts w:ascii="Times New Roman" w:hAnsi="Times New Roman"/>
          <w:sz w:val="24"/>
          <w:szCs w:val="24"/>
        </w:rPr>
        <w:t xml:space="preserve"> (vt ka KoPS § 52</w:t>
      </w:r>
      <w:r>
        <w:rPr>
          <w:rFonts w:ascii="Times New Roman" w:hAnsi="Times New Roman"/>
          <w:sz w:val="24"/>
          <w:szCs w:val="24"/>
          <w:vertAlign w:val="superscript"/>
        </w:rPr>
        <w:t>1</w:t>
      </w:r>
      <w:r>
        <w:rPr>
          <w:rFonts w:ascii="Times New Roman" w:hAnsi="Times New Roman"/>
          <w:sz w:val="24"/>
          <w:szCs w:val="24"/>
        </w:rPr>
        <w:t xml:space="preserve"> lõiget 6).</w:t>
      </w:r>
      <w:bookmarkEnd w:id="3"/>
    </w:p>
    <w:p w14:paraId="1EF4EE90" w14:textId="77777777" w:rsidR="00BA59F0" w:rsidRDefault="00BA59F0" w:rsidP="00D32BED">
      <w:pPr>
        <w:pStyle w:val="Loendilik"/>
        <w:spacing w:after="0" w:line="240" w:lineRule="auto"/>
        <w:ind w:left="0"/>
        <w:jc w:val="both"/>
        <w:rPr>
          <w:rFonts w:ascii="Times New Roman" w:hAnsi="Times New Roman"/>
          <w:sz w:val="24"/>
          <w:szCs w:val="24"/>
        </w:rPr>
      </w:pPr>
    </w:p>
    <w:p w14:paraId="7E9F79B2" w14:textId="15E16480" w:rsidR="00907CD2" w:rsidRDefault="00BA59F0" w:rsidP="003B2D78">
      <w:pPr>
        <w:shd w:val="clear" w:color="auto" w:fill="FFFFFF"/>
        <w:jc w:val="both"/>
        <w:rPr>
          <w:rFonts w:ascii="Times New Roman" w:hAnsi="Times New Roman"/>
          <w:lang w:val="et-EE"/>
        </w:rPr>
      </w:pPr>
      <w:r w:rsidRPr="003B2D78">
        <w:rPr>
          <w:rFonts w:ascii="Times New Roman" w:hAnsi="Times New Roman"/>
          <w:b/>
          <w:bCs/>
          <w:lang w:val="et-EE"/>
        </w:rPr>
        <w:t>KoPS § 52</w:t>
      </w:r>
      <w:r w:rsidRPr="003B2D78">
        <w:rPr>
          <w:rFonts w:ascii="Times New Roman" w:hAnsi="Times New Roman"/>
          <w:b/>
          <w:bCs/>
          <w:vertAlign w:val="superscript"/>
          <w:lang w:val="et-EE"/>
        </w:rPr>
        <w:t>6</w:t>
      </w:r>
      <w:r w:rsidRPr="003B2D78">
        <w:rPr>
          <w:rFonts w:ascii="Times New Roman" w:hAnsi="Times New Roman"/>
          <w:b/>
          <w:bCs/>
          <w:lang w:val="et-EE"/>
        </w:rPr>
        <w:t xml:space="preserve"> lõi</w:t>
      </w:r>
      <w:r w:rsidR="000C6D00">
        <w:rPr>
          <w:rFonts w:ascii="Times New Roman" w:hAnsi="Times New Roman"/>
          <w:b/>
          <w:bCs/>
          <w:lang w:val="et-EE"/>
        </w:rPr>
        <w:t>k</w:t>
      </w:r>
      <w:r w:rsidRPr="003B2D78">
        <w:rPr>
          <w:rFonts w:ascii="Times New Roman" w:hAnsi="Times New Roman"/>
          <w:b/>
          <w:bCs/>
          <w:lang w:val="et-EE"/>
        </w:rPr>
        <w:t>e 6</w:t>
      </w:r>
      <w:r w:rsidR="000C6D00">
        <w:rPr>
          <w:rFonts w:ascii="Times New Roman" w:hAnsi="Times New Roman"/>
          <w:b/>
          <w:bCs/>
          <w:lang w:val="et-EE"/>
        </w:rPr>
        <w:t xml:space="preserve"> esimene lause</w:t>
      </w:r>
      <w:r w:rsidRPr="003B2D78">
        <w:rPr>
          <w:rFonts w:ascii="Times New Roman" w:hAnsi="Times New Roman"/>
          <w:b/>
          <w:bCs/>
          <w:lang w:val="et-EE"/>
        </w:rPr>
        <w:t>.</w:t>
      </w:r>
      <w:r w:rsidRPr="003B2D78">
        <w:rPr>
          <w:rFonts w:ascii="Times New Roman" w:hAnsi="Times New Roman"/>
          <w:lang w:val="et-EE"/>
        </w:rPr>
        <w:t xml:space="preserve"> </w:t>
      </w:r>
      <w:r w:rsidR="003B2D78">
        <w:rPr>
          <w:rFonts w:ascii="Times New Roman" w:hAnsi="Times New Roman"/>
          <w:lang w:val="et-EE"/>
        </w:rPr>
        <w:t>II sambast lahkumisel makstakse isikule välja kogu tema II sambasse kogutud raha, millest on kinni peetud tulumaks. Kui pensioni kogumiseks on kasutatud pensioni investeerimiskontot, on sambast lahkumise ja raha väljavõtmise eelduseks see, et kogu pensioni investeerimiskonto kaudu soetatud finantsvara on võõrandatud ja raha pensioni investeerimiskontole laekunud (KoPS § 52</w:t>
      </w:r>
      <w:r w:rsidR="003B2D78">
        <w:rPr>
          <w:rFonts w:ascii="Times New Roman" w:hAnsi="Times New Roman"/>
          <w:vertAlign w:val="superscript"/>
          <w:lang w:val="et-EE"/>
        </w:rPr>
        <w:t>6</w:t>
      </w:r>
      <w:r w:rsidR="003B2D78">
        <w:rPr>
          <w:rFonts w:ascii="Times New Roman" w:hAnsi="Times New Roman"/>
          <w:lang w:val="et-EE"/>
        </w:rPr>
        <w:t xml:space="preserve"> lg 5). KoPS § 52</w:t>
      </w:r>
      <w:r w:rsidR="003B2D78">
        <w:rPr>
          <w:rFonts w:ascii="Times New Roman" w:hAnsi="Times New Roman"/>
          <w:vertAlign w:val="superscript"/>
          <w:lang w:val="et-EE"/>
        </w:rPr>
        <w:t>6</w:t>
      </w:r>
      <w:r w:rsidR="003B2D78">
        <w:rPr>
          <w:rFonts w:ascii="Times New Roman" w:hAnsi="Times New Roman"/>
          <w:lang w:val="et-EE"/>
        </w:rPr>
        <w:t xml:space="preserve"> lõike 6 </w:t>
      </w:r>
      <w:r w:rsidR="000C6D00">
        <w:rPr>
          <w:rFonts w:ascii="Times New Roman" w:hAnsi="Times New Roman"/>
          <w:lang w:val="et-EE"/>
        </w:rPr>
        <w:t xml:space="preserve">esimeses lauses </w:t>
      </w:r>
      <w:r w:rsidR="003B2D78">
        <w:rPr>
          <w:rFonts w:ascii="Times New Roman" w:hAnsi="Times New Roman"/>
          <w:lang w:val="et-EE"/>
        </w:rPr>
        <w:t xml:space="preserve">on sätestatud sellest üldreeglist </w:t>
      </w:r>
      <w:r w:rsidR="003B2D78" w:rsidRPr="003B2D78">
        <w:rPr>
          <w:rFonts w:ascii="Times New Roman" w:hAnsi="Times New Roman"/>
          <w:lang w:val="et-EE"/>
        </w:rPr>
        <w:t xml:space="preserve">erisus </w:t>
      </w:r>
      <w:r w:rsidR="003B2D78">
        <w:rPr>
          <w:rFonts w:ascii="Times New Roman" w:hAnsi="Times New Roman"/>
          <w:lang w:val="et-EE"/>
        </w:rPr>
        <w:t>–</w:t>
      </w:r>
      <w:r w:rsidR="003B2D78" w:rsidRPr="003B2D78">
        <w:rPr>
          <w:rFonts w:ascii="Times New Roman" w:hAnsi="Times New Roman"/>
          <w:lang w:val="et-EE"/>
        </w:rPr>
        <w:t xml:space="preserve"> </w:t>
      </w:r>
      <w:r w:rsidRPr="003B2D78">
        <w:rPr>
          <w:rFonts w:ascii="Times New Roman" w:hAnsi="Times New Roman"/>
          <w:lang w:val="et-EE"/>
        </w:rPr>
        <w:t>lõikes</w:t>
      </w:r>
      <w:r w:rsidR="003B2D78">
        <w:rPr>
          <w:rFonts w:ascii="Times New Roman" w:hAnsi="Times New Roman"/>
          <w:lang w:val="et-EE"/>
        </w:rPr>
        <w:t xml:space="preserve"> </w:t>
      </w:r>
      <w:r w:rsidRPr="003B2D78">
        <w:rPr>
          <w:rFonts w:ascii="Times New Roman" w:hAnsi="Times New Roman"/>
          <w:lang w:val="et-EE"/>
        </w:rPr>
        <w:t>5 sätestatud tingimust ei kohaldata pensioni investeerimiskonto kaudu soetatud finantsvara suhtes, mille võõrandamine</w:t>
      </w:r>
      <w:r w:rsidR="003B2D78" w:rsidRPr="003B2D78">
        <w:rPr>
          <w:rFonts w:ascii="Times New Roman" w:hAnsi="Times New Roman"/>
          <w:lang w:val="et-EE"/>
        </w:rPr>
        <w:t xml:space="preserve"> ei ole finantsvara teise osapoole suhtes pankrotimenetluse algatamise, krediidiasutuse suhtes väljakuulutatud moratooriumi või kriisilahendusmenetluse algatamise, kindlustusandjale kehtestatud erirežiimi või õigusaktides sätestatud muu tagajärgedelt sarnase sündmuse või toimingu tõttu seaduse kohaselt võimalik.</w:t>
      </w:r>
      <w:r w:rsidR="003B2D78">
        <w:rPr>
          <w:rFonts w:ascii="Times New Roman" w:hAnsi="Times New Roman"/>
          <w:lang w:val="et-EE"/>
        </w:rPr>
        <w:t xml:space="preserve"> </w:t>
      </w:r>
      <w:r w:rsidR="00907CD2">
        <w:rPr>
          <w:rFonts w:ascii="Times New Roman" w:hAnsi="Times New Roman"/>
          <w:lang w:val="et-EE"/>
        </w:rPr>
        <w:t>Eelnõuga muudetakse lõike 6 esimest lauset ja laiendatakse aluseid, mil lõikes 5 sätestatud kogu vara võõrandamise nõuet ei kohaldata. Lisaks finantsvara teise osapoole pankrotimenetlusele jm lõikes 6 juba nimetatud menetlusele või režiimile võib aluseks olla ka sellise finants</w:t>
      </w:r>
      <w:r w:rsidR="000C6D00">
        <w:rPr>
          <w:rFonts w:ascii="Times New Roman" w:hAnsi="Times New Roman"/>
          <w:lang w:val="et-EE"/>
        </w:rPr>
        <w:t>vahendaja</w:t>
      </w:r>
      <w:r w:rsidR="00907CD2">
        <w:rPr>
          <w:rFonts w:ascii="Times New Roman" w:hAnsi="Times New Roman"/>
          <w:lang w:val="et-EE"/>
        </w:rPr>
        <w:t xml:space="preserve"> suhtes algatatud menetlus või režiim, kes on vajalik tehingu tegemiseks.</w:t>
      </w:r>
      <w:r w:rsidR="00CE19F5">
        <w:rPr>
          <w:rFonts w:ascii="Times New Roman" w:hAnsi="Times New Roman"/>
          <w:lang w:val="et-EE"/>
        </w:rPr>
        <w:t xml:space="preserve"> F</w:t>
      </w:r>
      <w:r w:rsidR="00CE19F5" w:rsidRPr="00CE19F5">
        <w:rPr>
          <w:rFonts w:ascii="Times New Roman" w:hAnsi="Times New Roman"/>
          <w:lang w:val="et-EE"/>
        </w:rPr>
        <w:t>inantsvara</w:t>
      </w:r>
      <w:r w:rsidR="00CE19F5">
        <w:rPr>
          <w:rFonts w:ascii="Times New Roman" w:hAnsi="Times New Roman"/>
          <w:lang w:val="et-EE"/>
        </w:rPr>
        <w:t xml:space="preserve"> ebalikviidsuse</w:t>
      </w:r>
      <w:r w:rsidR="00CE19F5" w:rsidRPr="00CE19F5">
        <w:rPr>
          <w:rFonts w:ascii="Times New Roman" w:hAnsi="Times New Roman"/>
          <w:lang w:val="et-EE"/>
        </w:rPr>
        <w:t xml:space="preserve"> </w:t>
      </w:r>
      <w:r w:rsidR="00CE19F5">
        <w:rPr>
          <w:rFonts w:ascii="Times New Roman" w:hAnsi="Times New Roman"/>
          <w:lang w:val="et-EE"/>
        </w:rPr>
        <w:t>võib põhjustada</w:t>
      </w:r>
      <w:r w:rsidR="00CE19F5" w:rsidRPr="00CE19F5">
        <w:rPr>
          <w:rFonts w:ascii="Times New Roman" w:hAnsi="Times New Roman"/>
          <w:lang w:val="et-EE"/>
        </w:rPr>
        <w:t xml:space="preserve"> mõni </w:t>
      </w:r>
      <w:r w:rsidR="00CE19F5">
        <w:rPr>
          <w:rFonts w:ascii="Times New Roman" w:hAnsi="Times New Roman"/>
          <w:lang w:val="et-EE"/>
        </w:rPr>
        <w:t>lõike 6 esimeses lauses nimetatud asjaolu, mis leiab aset, mitte finantsvara teise osapoole endaga, aga</w:t>
      </w:r>
      <w:r w:rsidR="00CE19F5" w:rsidRPr="00CE19F5">
        <w:rPr>
          <w:rFonts w:ascii="Times New Roman" w:hAnsi="Times New Roman"/>
          <w:lang w:val="et-EE"/>
        </w:rPr>
        <w:t xml:space="preserve"> mõne vahendajaga </w:t>
      </w:r>
      <w:r w:rsidR="00CE19F5">
        <w:rPr>
          <w:rFonts w:ascii="Times New Roman" w:hAnsi="Times New Roman"/>
          <w:lang w:val="et-EE"/>
        </w:rPr>
        <w:t xml:space="preserve">tehingu </w:t>
      </w:r>
      <w:r w:rsidR="00CE19F5" w:rsidRPr="00CE19F5">
        <w:rPr>
          <w:rFonts w:ascii="Times New Roman" w:hAnsi="Times New Roman"/>
          <w:lang w:val="et-EE"/>
        </w:rPr>
        <w:t>ahelas</w:t>
      </w:r>
      <w:r w:rsidR="00CE19F5">
        <w:rPr>
          <w:rFonts w:ascii="Times New Roman" w:hAnsi="Times New Roman"/>
          <w:lang w:val="et-EE"/>
        </w:rPr>
        <w:t xml:space="preserve">. </w:t>
      </w:r>
      <w:r w:rsidR="00CE19F5" w:rsidRPr="000C6D00">
        <w:rPr>
          <w:rFonts w:ascii="Times New Roman" w:hAnsi="Times New Roman"/>
          <w:lang w:val="et-EE"/>
        </w:rPr>
        <w:t>Muudatusega kaetakse ka sellised olukorrad. Ühtlasi lisatakse l</w:t>
      </w:r>
      <w:r w:rsidR="00907CD2" w:rsidRPr="000C6D00">
        <w:rPr>
          <w:rFonts w:ascii="Times New Roman" w:hAnsi="Times New Roman"/>
          <w:lang w:val="et-EE"/>
        </w:rPr>
        <w:t>oetellu ka väärtpaberituru seaduse §-s 3 nimetatud kauplemiskoha</w:t>
      </w:r>
      <w:r w:rsidR="000C6D00" w:rsidRPr="000C6D00">
        <w:rPr>
          <w:rFonts w:ascii="Times New Roman" w:hAnsi="Times New Roman"/>
          <w:lang w:val="et-EE"/>
        </w:rPr>
        <w:t xml:space="preserve"> (so reguleeritud väärtpaberiturg, mitmepoolne kauplemissüsteem või organiseeritud kauplemissüsteem)</w:t>
      </w:r>
      <w:r w:rsidR="00907CD2" w:rsidRPr="000C6D00">
        <w:rPr>
          <w:rFonts w:ascii="Times New Roman" w:hAnsi="Times New Roman"/>
          <w:lang w:val="et-EE"/>
        </w:rPr>
        <w:t xml:space="preserve"> poolt väärtpaberiga kauplemise peatamine või lõpetamine, millisel juhul samuti ei ole väärtpaberi võõrandamine võimalik.</w:t>
      </w:r>
      <w:r w:rsidR="001B3944">
        <w:rPr>
          <w:rFonts w:ascii="Times New Roman" w:hAnsi="Times New Roman"/>
          <w:lang w:val="et-EE"/>
        </w:rPr>
        <w:t xml:space="preserve"> </w:t>
      </w:r>
    </w:p>
    <w:p w14:paraId="0EB324F9" w14:textId="77777777" w:rsidR="00907CD2" w:rsidRDefault="00907CD2" w:rsidP="003B2D78">
      <w:pPr>
        <w:shd w:val="clear" w:color="auto" w:fill="FFFFFF"/>
        <w:jc w:val="both"/>
        <w:rPr>
          <w:rFonts w:ascii="Times New Roman" w:hAnsi="Times New Roman"/>
          <w:lang w:val="et-EE"/>
        </w:rPr>
      </w:pPr>
    </w:p>
    <w:p w14:paraId="3CD10590" w14:textId="39A328C3" w:rsidR="001B3944" w:rsidRDefault="001B3944" w:rsidP="00CE19F5">
      <w:pPr>
        <w:shd w:val="clear" w:color="auto" w:fill="FFFFFF"/>
        <w:jc w:val="both"/>
        <w:rPr>
          <w:rFonts w:ascii="Times New Roman" w:hAnsi="Times New Roman"/>
          <w:lang w:val="et-EE"/>
        </w:rPr>
      </w:pPr>
      <w:r>
        <w:rPr>
          <w:rFonts w:ascii="Times New Roman" w:hAnsi="Times New Roman"/>
          <w:lang w:val="et-EE"/>
        </w:rPr>
        <w:t>Lõike 6 esimeses lauses loetletud menetlused ja režiimid (pankrotimenetlus, moratoorium, kriisilahendusmenetlus ja erirežiim) lähtuvad Eesti õigusest, finantsvara emitent ja finantsvara võivad pärineda aga ka mõnest teisest riigist, mistõttu peaks esitatud loetelu hõlmama ka teiste riikide õiguse kohaseid sarnaseid menetlusi ja režiime. Eelnõuga tehakse täpsustused ka normi selles osas ning sätestatakse, et lõikes 5 sätestatud tingimust ei kohaldata ka finantsvara suhtes, mille võõrandamine ei ole muu pädeva haldusorgani</w:t>
      </w:r>
      <w:r w:rsidR="000C6D00">
        <w:rPr>
          <w:rFonts w:ascii="Times New Roman" w:hAnsi="Times New Roman"/>
          <w:lang w:val="et-EE"/>
        </w:rPr>
        <w:t xml:space="preserve"> tagajärgedelt</w:t>
      </w:r>
      <w:r>
        <w:rPr>
          <w:rFonts w:ascii="Times New Roman" w:hAnsi="Times New Roman"/>
          <w:lang w:val="et-EE"/>
        </w:rPr>
        <w:t xml:space="preserve"> </w:t>
      </w:r>
      <w:r w:rsidR="000C6D00">
        <w:rPr>
          <w:rFonts w:ascii="Times New Roman" w:hAnsi="Times New Roman"/>
          <w:lang w:val="et-EE"/>
        </w:rPr>
        <w:t xml:space="preserve">sarnase </w:t>
      </w:r>
      <w:r w:rsidR="00CE19F5">
        <w:rPr>
          <w:rFonts w:ascii="Times New Roman" w:hAnsi="Times New Roman"/>
          <w:lang w:val="et-EE"/>
        </w:rPr>
        <w:t xml:space="preserve">otsuse </w:t>
      </w:r>
      <w:r>
        <w:rPr>
          <w:rFonts w:ascii="Times New Roman" w:hAnsi="Times New Roman"/>
          <w:lang w:val="et-EE"/>
        </w:rPr>
        <w:t>või kohtuotsuse tõttu seaduse kohaselt võimalik.</w:t>
      </w:r>
      <w:r w:rsidR="00CE19F5">
        <w:rPr>
          <w:rFonts w:ascii="Times New Roman" w:hAnsi="Times New Roman"/>
          <w:lang w:val="et-EE"/>
        </w:rPr>
        <w:t xml:space="preserve"> Lõike 6 esimeses lauses nimetatud </w:t>
      </w:r>
      <w:r w:rsidR="00CE19F5" w:rsidRPr="00CE19F5">
        <w:rPr>
          <w:rFonts w:ascii="Times New Roman" w:hAnsi="Times New Roman"/>
          <w:lang w:val="et-EE"/>
        </w:rPr>
        <w:t>finantsvara võõrandamise võimatust tingivad asjaolud – pankrot, moratoorium jne – on erinevatel alustel tehtavad otsused</w:t>
      </w:r>
      <w:r w:rsidR="00CE19F5">
        <w:rPr>
          <w:rFonts w:ascii="Times New Roman" w:hAnsi="Times New Roman"/>
          <w:lang w:val="et-EE"/>
        </w:rPr>
        <w:t xml:space="preserve">, mistõttu asendatakse õiguskindluse huvides viide </w:t>
      </w:r>
      <w:r w:rsidR="00CE19F5" w:rsidRPr="00CE19F5">
        <w:rPr>
          <w:rFonts w:ascii="Times New Roman" w:hAnsi="Times New Roman"/>
          <w:lang w:val="et-EE"/>
        </w:rPr>
        <w:t>õigusaktides sätestatud muu</w:t>
      </w:r>
      <w:r w:rsidR="00CE19F5">
        <w:rPr>
          <w:rFonts w:ascii="Times New Roman" w:hAnsi="Times New Roman"/>
          <w:lang w:val="et-EE"/>
        </w:rPr>
        <w:t>le</w:t>
      </w:r>
      <w:r w:rsidR="00CE19F5" w:rsidRPr="00CE19F5">
        <w:rPr>
          <w:rFonts w:ascii="Times New Roman" w:hAnsi="Times New Roman"/>
          <w:lang w:val="et-EE"/>
        </w:rPr>
        <w:t xml:space="preserve"> tagajärgedelt sarnase</w:t>
      </w:r>
      <w:r w:rsidR="00CE19F5">
        <w:rPr>
          <w:rFonts w:ascii="Times New Roman" w:hAnsi="Times New Roman"/>
          <w:lang w:val="et-EE"/>
        </w:rPr>
        <w:t>le</w:t>
      </w:r>
      <w:r w:rsidR="00CE19F5" w:rsidRPr="00CE19F5">
        <w:rPr>
          <w:rFonts w:ascii="Times New Roman" w:hAnsi="Times New Roman"/>
          <w:lang w:val="et-EE"/>
        </w:rPr>
        <w:t xml:space="preserve"> sündmuse</w:t>
      </w:r>
      <w:r w:rsidR="00CE19F5">
        <w:rPr>
          <w:rFonts w:ascii="Times New Roman" w:hAnsi="Times New Roman"/>
          <w:lang w:val="et-EE"/>
        </w:rPr>
        <w:t>le</w:t>
      </w:r>
      <w:r w:rsidR="00CE19F5" w:rsidRPr="00CE19F5">
        <w:rPr>
          <w:rFonts w:ascii="Times New Roman" w:hAnsi="Times New Roman"/>
          <w:lang w:val="et-EE"/>
        </w:rPr>
        <w:t xml:space="preserve"> või toimingu</w:t>
      </w:r>
      <w:r w:rsidR="00CE19F5">
        <w:rPr>
          <w:rFonts w:ascii="Times New Roman" w:hAnsi="Times New Roman"/>
          <w:lang w:val="et-EE"/>
        </w:rPr>
        <w:t xml:space="preserve">le viitega </w:t>
      </w:r>
      <w:r w:rsidR="00CE19F5" w:rsidRPr="00CE19F5">
        <w:rPr>
          <w:rFonts w:ascii="Times New Roman" w:hAnsi="Times New Roman"/>
          <w:lang w:val="et-EE"/>
        </w:rPr>
        <w:t>muu</w:t>
      </w:r>
      <w:r w:rsidR="000C6D00">
        <w:rPr>
          <w:rFonts w:ascii="Times New Roman" w:hAnsi="Times New Roman"/>
          <w:lang w:val="et-EE"/>
        </w:rPr>
        <w:t xml:space="preserve"> pädeva haldusorgani</w:t>
      </w:r>
      <w:r w:rsidR="00CE19F5" w:rsidRPr="00CE19F5">
        <w:rPr>
          <w:rFonts w:ascii="Times New Roman" w:hAnsi="Times New Roman"/>
          <w:lang w:val="et-EE"/>
        </w:rPr>
        <w:t xml:space="preserve"> tagajärgedelt sarnase</w:t>
      </w:r>
      <w:r w:rsidR="00CE19F5">
        <w:rPr>
          <w:rFonts w:ascii="Times New Roman" w:hAnsi="Times New Roman"/>
          <w:lang w:val="et-EE"/>
        </w:rPr>
        <w:t>le</w:t>
      </w:r>
      <w:r w:rsidR="00CE19F5" w:rsidRPr="00CE19F5">
        <w:rPr>
          <w:rFonts w:ascii="Times New Roman" w:hAnsi="Times New Roman"/>
          <w:lang w:val="et-EE"/>
        </w:rPr>
        <w:t xml:space="preserve"> </w:t>
      </w:r>
      <w:r w:rsidR="00CE19F5">
        <w:rPr>
          <w:rFonts w:ascii="Times New Roman" w:hAnsi="Times New Roman"/>
          <w:lang w:val="et-EE"/>
        </w:rPr>
        <w:t xml:space="preserve">otsusele </w:t>
      </w:r>
      <w:r w:rsidR="00CE19F5" w:rsidRPr="00CE19F5">
        <w:rPr>
          <w:rFonts w:ascii="Times New Roman" w:hAnsi="Times New Roman"/>
          <w:lang w:val="et-EE"/>
        </w:rPr>
        <w:t>või kohtuotsuse</w:t>
      </w:r>
      <w:r w:rsidR="00CE19F5">
        <w:rPr>
          <w:rFonts w:ascii="Times New Roman" w:hAnsi="Times New Roman"/>
          <w:lang w:val="et-EE"/>
        </w:rPr>
        <w:t>le</w:t>
      </w:r>
      <w:r w:rsidR="00CE19F5" w:rsidRPr="00CE19F5">
        <w:rPr>
          <w:rFonts w:ascii="Times New Roman" w:hAnsi="Times New Roman"/>
          <w:lang w:val="et-EE"/>
        </w:rPr>
        <w:t>.</w:t>
      </w:r>
    </w:p>
    <w:p w14:paraId="0A9CFB03" w14:textId="60720F21" w:rsidR="001B3944" w:rsidRDefault="001B3944" w:rsidP="003B2D78">
      <w:pPr>
        <w:shd w:val="clear" w:color="auto" w:fill="FFFFFF"/>
        <w:jc w:val="both"/>
        <w:rPr>
          <w:rFonts w:ascii="Times New Roman" w:hAnsi="Times New Roman"/>
          <w:lang w:val="et-EE"/>
        </w:rPr>
      </w:pPr>
    </w:p>
    <w:p w14:paraId="568BD458" w14:textId="77777777" w:rsidR="000C6D00" w:rsidRDefault="00F9123C" w:rsidP="00F9123C">
      <w:pPr>
        <w:shd w:val="clear" w:color="auto" w:fill="FFFFFF"/>
        <w:jc w:val="both"/>
        <w:rPr>
          <w:rFonts w:ascii="Times New Roman" w:hAnsi="Times New Roman"/>
          <w:lang w:val="et-EE"/>
        </w:rPr>
      </w:pPr>
      <w:r>
        <w:rPr>
          <w:rFonts w:ascii="Times New Roman" w:hAnsi="Times New Roman"/>
          <w:lang w:val="et-EE"/>
        </w:rPr>
        <w:t>Kui lõike 6 esimeses lauses n</w:t>
      </w:r>
      <w:r w:rsidRPr="00F9123C">
        <w:rPr>
          <w:rFonts w:ascii="Times New Roman" w:hAnsi="Times New Roman"/>
          <w:lang w:val="et-EE"/>
        </w:rPr>
        <w:t>imetatud põhjuse</w:t>
      </w:r>
      <w:r>
        <w:rPr>
          <w:rFonts w:ascii="Times New Roman" w:hAnsi="Times New Roman"/>
          <w:lang w:val="et-EE"/>
        </w:rPr>
        <w:t>d</w:t>
      </w:r>
      <w:r w:rsidRPr="00F9123C">
        <w:rPr>
          <w:rFonts w:ascii="Times New Roman" w:hAnsi="Times New Roman"/>
          <w:lang w:val="et-EE"/>
        </w:rPr>
        <w:t xml:space="preserve"> ära</w:t>
      </w:r>
      <w:r>
        <w:rPr>
          <w:rFonts w:ascii="Times New Roman" w:hAnsi="Times New Roman"/>
          <w:lang w:val="et-EE"/>
        </w:rPr>
        <w:t xml:space="preserve"> </w:t>
      </w:r>
      <w:r w:rsidRPr="00F9123C">
        <w:rPr>
          <w:rFonts w:ascii="Times New Roman" w:hAnsi="Times New Roman"/>
          <w:lang w:val="et-EE"/>
        </w:rPr>
        <w:t>lange</w:t>
      </w:r>
      <w:r>
        <w:rPr>
          <w:rFonts w:ascii="Times New Roman" w:hAnsi="Times New Roman"/>
          <w:lang w:val="et-EE"/>
        </w:rPr>
        <w:t>vad ühel hetkel ja finantsvara muutub võõrandatavaks, mis</w:t>
      </w:r>
      <w:r w:rsidRPr="00F9123C">
        <w:rPr>
          <w:rFonts w:ascii="Times New Roman" w:hAnsi="Times New Roman"/>
          <w:lang w:val="et-EE"/>
        </w:rPr>
        <w:t>järel pensioni investeerimiskontole laeku</w:t>
      </w:r>
      <w:r>
        <w:rPr>
          <w:rFonts w:ascii="Times New Roman" w:hAnsi="Times New Roman"/>
          <w:lang w:val="et-EE"/>
        </w:rPr>
        <w:t>b</w:t>
      </w:r>
      <w:r w:rsidRPr="00F9123C">
        <w:rPr>
          <w:rFonts w:ascii="Times New Roman" w:hAnsi="Times New Roman"/>
          <w:lang w:val="et-EE"/>
        </w:rPr>
        <w:t xml:space="preserve"> raha</w:t>
      </w:r>
      <w:r>
        <w:rPr>
          <w:rFonts w:ascii="Times New Roman" w:hAnsi="Times New Roman"/>
          <w:lang w:val="et-EE"/>
        </w:rPr>
        <w:t>,</w:t>
      </w:r>
      <w:r w:rsidRPr="00F9123C">
        <w:rPr>
          <w:rFonts w:ascii="Times New Roman" w:hAnsi="Times New Roman"/>
          <w:lang w:val="et-EE"/>
        </w:rPr>
        <w:t xml:space="preserve"> kohald</w:t>
      </w:r>
      <w:r>
        <w:rPr>
          <w:rFonts w:ascii="Times New Roman" w:hAnsi="Times New Roman"/>
          <w:lang w:val="et-EE"/>
        </w:rPr>
        <w:t>ub sama lõike teise lause kohaselt</w:t>
      </w:r>
      <w:r w:rsidRPr="00F9123C">
        <w:rPr>
          <w:rFonts w:ascii="Times New Roman" w:hAnsi="Times New Roman"/>
          <w:lang w:val="et-EE"/>
        </w:rPr>
        <w:t xml:space="preserve"> lõikes 7 sätestatu</w:t>
      </w:r>
      <w:r>
        <w:rPr>
          <w:rFonts w:ascii="Times New Roman" w:hAnsi="Times New Roman"/>
          <w:lang w:val="et-EE"/>
        </w:rPr>
        <w:t xml:space="preserve"> ehk teisest sambast lahkunud isik saab pensioniregistri pidajalt uue</w:t>
      </w:r>
      <w:r w:rsidRPr="00F9123C">
        <w:rPr>
          <w:rFonts w:ascii="Times New Roman" w:hAnsi="Times New Roman"/>
          <w:lang w:val="et-EE"/>
        </w:rPr>
        <w:t xml:space="preserve"> väljamakse</w:t>
      </w:r>
      <w:r>
        <w:rPr>
          <w:rFonts w:ascii="Times New Roman" w:hAnsi="Times New Roman"/>
          <w:lang w:val="et-EE"/>
        </w:rPr>
        <w:t>, eeldusel, et tal ei ole vahepeal tekkinud uuesti kohustust kogumispensioni makset tasuma hakata (kui sambast lahkumisest on möödunud 10 aastat, on endisel pensionikogujal võimalik korra veel II sambaga liituda ja kogumisega uuesti alustada).</w:t>
      </w:r>
      <w:r w:rsidRPr="00F9123C">
        <w:rPr>
          <w:rFonts w:ascii="Times New Roman" w:hAnsi="Times New Roman"/>
          <w:lang w:val="et-EE"/>
        </w:rPr>
        <w:t xml:space="preserve"> </w:t>
      </w:r>
      <w:r>
        <w:rPr>
          <w:rFonts w:ascii="Times New Roman" w:hAnsi="Times New Roman"/>
          <w:lang w:val="et-EE"/>
        </w:rPr>
        <w:t xml:space="preserve">Pensioniregistri pidaja teeb väljamakse </w:t>
      </w:r>
      <w:r w:rsidRPr="00F9123C">
        <w:rPr>
          <w:rFonts w:ascii="Times New Roman" w:hAnsi="Times New Roman"/>
          <w:lang w:val="et-EE"/>
        </w:rPr>
        <w:t>esimesel võimalusel, kuid mitte hiljem kui järgmisel</w:t>
      </w:r>
      <w:r>
        <w:rPr>
          <w:rFonts w:ascii="Times New Roman" w:hAnsi="Times New Roman"/>
          <w:lang w:val="et-EE"/>
        </w:rPr>
        <w:t xml:space="preserve"> KoPS</w:t>
      </w:r>
      <w:r w:rsidRPr="00F9123C">
        <w:rPr>
          <w:rFonts w:ascii="Times New Roman" w:hAnsi="Times New Roman"/>
          <w:lang w:val="et-EE"/>
        </w:rPr>
        <w:t xml:space="preserve"> § 43</w:t>
      </w:r>
      <w:r w:rsidRPr="00F9123C">
        <w:rPr>
          <w:rFonts w:ascii="Times New Roman" w:hAnsi="Times New Roman"/>
          <w:vertAlign w:val="superscript"/>
          <w:lang w:val="et-EE"/>
        </w:rPr>
        <w:t>1</w:t>
      </w:r>
      <w:r w:rsidRPr="00F9123C">
        <w:rPr>
          <w:rFonts w:ascii="Times New Roman" w:hAnsi="Times New Roman"/>
          <w:lang w:val="et-EE"/>
        </w:rPr>
        <w:t xml:space="preserve"> lõikes 2 sätestatud väljamakse tähtpäeval.</w:t>
      </w:r>
      <w:r>
        <w:rPr>
          <w:rFonts w:ascii="Times New Roman" w:hAnsi="Times New Roman"/>
          <w:lang w:val="et-EE"/>
        </w:rPr>
        <w:t xml:space="preserve"> Neid põhimõtteid eelnõuga ei muudeta.</w:t>
      </w:r>
    </w:p>
    <w:p w14:paraId="0C861A82" w14:textId="77777777" w:rsidR="000C6D00" w:rsidRDefault="000C6D00" w:rsidP="00F9123C">
      <w:pPr>
        <w:shd w:val="clear" w:color="auto" w:fill="FFFFFF"/>
        <w:jc w:val="both"/>
        <w:rPr>
          <w:rFonts w:ascii="Times New Roman" w:hAnsi="Times New Roman"/>
          <w:lang w:val="et-EE"/>
        </w:rPr>
      </w:pPr>
    </w:p>
    <w:p w14:paraId="7CFF038D" w14:textId="5FFC7824" w:rsidR="00A74A3E" w:rsidRPr="00E9220C" w:rsidRDefault="0053620D" w:rsidP="00D32BED">
      <w:pPr>
        <w:pStyle w:val="Loendilik"/>
        <w:spacing w:after="0" w:line="240" w:lineRule="auto"/>
        <w:ind w:left="0"/>
        <w:jc w:val="both"/>
        <w:rPr>
          <w:rFonts w:ascii="Times New Roman" w:hAnsi="Times New Roman"/>
          <w:sz w:val="24"/>
          <w:szCs w:val="24"/>
        </w:rPr>
      </w:pPr>
      <w:r w:rsidRPr="00E9220C">
        <w:rPr>
          <w:rFonts w:ascii="Times New Roman" w:hAnsi="Times New Roman"/>
          <w:sz w:val="24"/>
          <w:szCs w:val="24"/>
        </w:rPr>
        <w:lastRenderedPageBreak/>
        <w:t>Sõltuvalt finantsvara võõrandamist takistanud menetluse või režiimi tulemustest võib finantsvara aga jäädagi nö võõrandamiskõlbmatuks (pankrotimenetluse lõppemisel eelkõige). Erinevalt kauplemise peatamisest, mille saab tühistada, ei osutu väärtpaberite võõrandamine võimalikuks ka pärast kauplemise lõpetamist kauplemiskoha poolt. Et sellisel juhul oleks ikkagi võimalik pensioni investeerimiskontot sulgeda, täiendatakse eelnõuga KoPS § 17</w:t>
      </w:r>
      <w:r w:rsidRPr="00E9220C">
        <w:rPr>
          <w:rFonts w:ascii="Times New Roman" w:hAnsi="Times New Roman"/>
          <w:sz w:val="24"/>
          <w:szCs w:val="24"/>
          <w:vertAlign w:val="superscript"/>
        </w:rPr>
        <w:t>1</w:t>
      </w:r>
      <w:r w:rsidRPr="00E9220C">
        <w:rPr>
          <w:rFonts w:ascii="Times New Roman" w:hAnsi="Times New Roman"/>
          <w:sz w:val="24"/>
          <w:szCs w:val="24"/>
        </w:rPr>
        <w:t xml:space="preserve"> ja võimaldatakse neil väga piiritletud juhtudel pensioni investeerimiskonto kaudu soetatud, kuid nö võõrandamiskõlbmatuks muutunud väärtpaberid isiku tavalisele väärtpaberikontole ümber registreerida. Vt ka KoPS § 17</w:t>
      </w:r>
      <w:r w:rsidRPr="00E9220C">
        <w:rPr>
          <w:rFonts w:ascii="Times New Roman" w:hAnsi="Times New Roman"/>
          <w:sz w:val="24"/>
          <w:szCs w:val="24"/>
          <w:vertAlign w:val="superscript"/>
        </w:rPr>
        <w:t>1</w:t>
      </w:r>
      <w:r w:rsidRPr="00E9220C">
        <w:rPr>
          <w:rFonts w:ascii="Times New Roman" w:hAnsi="Times New Roman"/>
          <w:sz w:val="24"/>
          <w:szCs w:val="24"/>
        </w:rPr>
        <w:t xml:space="preserve"> lõike 2</w:t>
      </w:r>
      <w:r w:rsidRPr="00E9220C">
        <w:rPr>
          <w:rFonts w:ascii="Times New Roman" w:hAnsi="Times New Roman"/>
          <w:sz w:val="24"/>
          <w:szCs w:val="24"/>
          <w:vertAlign w:val="superscript"/>
        </w:rPr>
        <w:t>1</w:t>
      </w:r>
      <w:r w:rsidRPr="00E9220C">
        <w:rPr>
          <w:rFonts w:ascii="Times New Roman" w:hAnsi="Times New Roman"/>
          <w:sz w:val="24"/>
          <w:szCs w:val="24"/>
        </w:rPr>
        <w:t xml:space="preserve"> selgitust. </w:t>
      </w:r>
    </w:p>
    <w:p w14:paraId="65EC8DCB" w14:textId="77777777" w:rsidR="00E9220C" w:rsidRPr="007717F5" w:rsidRDefault="00E9220C" w:rsidP="00D32BED">
      <w:pPr>
        <w:pStyle w:val="Loendilik"/>
        <w:spacing w:after="0" w:line="240" w:lineRule="auto"/>
        <w:ind w:left="0"/>
        <w:jc w:val="both"/>
        <w:rPr>
          <w:rFonts w:ascii="Times New Roman" w:hAnsi="Times New Roman"/>
          <w:i/>
          <w:sz w:val="24"/>
          <w:szCs w:val="24"/>
        </w:rPr>
      </w:pPr>
    </w:p>
    <w:p w14:paraId="6B1284A9" w14:textId="2098B07E" w:rsidR="00CE652A" w:rsidRPr="00CE652A" w:rsidRDefault="00C873BA" w:rsidP="00D32BED">
      <w:pPr>
        <w:shd w:val="clear" w:color="auto" w:fill="FFFFFF"/>
        <w:jc w:val="both"/>
        <w:rPr>
          <w:rFonts w:ascii="Times New Roman" w:hAnsi="Times New Roman"/>
          <w:lang w:val="et-EE"/>
        </w:rPr>
      </w:pPr>
      <w:r w:rsidRPr="00C873BA">
        <w:rPr>
          <w:rFonts w:ascii="Times New Roman" w:hAnsi="Times New Roman"/>
          <w:b/>
          <w:bCs/>
          <w:lang w:val="et-EE"/>
        </w:rPr>
        <w:t>KoPS § 63 lõiked 5</w:t>
      </w:r>
      <w:r w:rsidRPr="00C873BA">
        <w:rPr>
          <w:rFonts w:ascii="Times New Roman" w:hAnsi="Times New Roman"/>
          <w:b/>
          <w:bCs/>
          <w:vertAlign w:val="superscript"/>
          <w:lang w:val="et-EE"/>
        </w:rPr>
        <w:t>1</w:t>
      </w:r>
      <w:r w:rsidRPr="00C873BA">
        <w:rPr>
          <w:rFonts w:ascii="Times New Roman" w:hAnsi="Times New Roman"/>
          <w:b/>
          <w:bCs/>
          <w:lang w:val="et-EE"/>
        </w:rPr>
        <w:t xml:space="preserve"> ja 5</w:t>
      </w:r>
      <w:r w:rsidRPr="00C873BA">
        <w:rPr>
          <w:rFonts w:ascii="Times New Roman" w:hAnsi="Times New Roman"/>
          <w:b/>
          <w:bCs/>
          <w:vertAlign w:val="superscript"/>
          <w:lang w:val="et-EE"/>
        </w:rPr>
        <w:t>2</w:t>
      </w:r>
      <w:r w:rsidRPr="00C873BA">
        <w:rPr>
          <w:rFonts w:ascii="Times New Roman" w:hAnsi="Times New Roman"/>
          <w:b/>
          <w:bCs/>
          <w:lang w:val="et-EE"/>
        </w:rPr>
        <w:t xml:space="preserve">. </w:t>
      </w:r>
      <w:r w:rsidRPr="00C873BA">
        <w:rPr>
          <w:rFonts w:ascii="Times New Roman" w:hAnsi="Times New Roman"/>
          <w:lang w:val="et-EE"/>
        </w:rPr>
        <w:t xml:space="preserve">Muudatused puudutavad III samba ehk täiendava kogumispensioni kindlustuslepingut. </w:t>
      </w:r>
      <w:r w:rsidR="00CE652A">
        <w:rPr>
          <w:rFonts w:ascii="Times New Roman" w:hAnsi="Times New Roman"/>
          <w:lang w:val="et-EE"/>
        </w:rPr>
        <w:t>Paragrahvi lõiked 5–5</w:t>
      </w:r>
      <w:r w:rsidR="00CE652A">
        <w:rPr>
          <w:rFonts w:ascii="Times New Roman" w:hAnsi="Times New Roman"/>
          <w:vertAlign w:val="superscript"/>
          <w:lang w:val="et-EE"/>
        </w:rPr>
        <w:t>5</w:t>
      </w:r>
      <w:r w:rsidR="00CE652A">
        <w:rPr>
          <w:rFonts w:ascii="Times New Roman" w:hAnsi="Times New Roman"/>
          <w:lang w:val="et-EE"/>
        </w:rPr>
        <w:t xml:space="preserve"> reguleerivad õigust öelda täiendava kogumispensioni kindlustusleping üles ning sealt omakorda kindlustusvõtja õigust </w:t>
      </w:r>
      <w:r w:rsidR="00CE652A" w:rsidRPr="00CE652A">
        <w:rPr>
          <w:rFonts w:ascii="Times New Roman" w:hAnsi="Times New Roman"/>
          <w:lang w:val="et-EE"/>
        </w:rPr>
        <w:t xml:space="preserve">kasutada ülesöeldud lepingu kogu tagastusväärtust või </w:t>
      </w:r>
      <w:r w:rsidR="00CE652A">
        <w:rPr>
          <w:rFonts w:ascii="Times New Roman" w:hAnsi="Times New Roman"/>
          <w:lang w:val="et-EE"/>
        </w:rPr>
        <w:t xml:space="preserve">sellest </w:t>
      </w:r>
      <w:r w:rsidR="00CE652A" w:rsidRPr="00CE652A">
        <w:rPr>
          <w:rFonts w:ascii="Times New Roman" w:hAnsi="Times New Roman"/>
          <w:lang w:val="et-EE"/>
        </w:rPr>
        <w:t xml:space="preserve">osa </w:t>
      </w:r>
      <w:r w:rsidR="00CE652A">
        <w:rPr>
          <w:rFonts w:ascii="Times New Roman" w:hAnsi="Times New Roman"/>
          <w:lang w:val="et-EE"/>
        </w:rPr>
        <w:t>oma</w:t>
      </w:r>
      <w:r w:rsidR="00CE652A" w:rsidRPr="00CE652A">
        <w:rPr>
          <w:rFonts w:ascii="Times New Roman" w:hAnsi="Times New Roman"/>
          <w:lang w:val="et-EE"/>
        </w:rPr>
        <w:t xml:space="preserve"> teise </w:t>
      </w:r>
      <w:r w:rsidR="00CE652A">
        <w:rPr>
          <w:rFonts w:ascii="Times New Roman" w:hAnsi="Times New Roman"/>
          <w:lang w:val="et-EE"/>
        </w:rPr>
        <w:t>täiendava kogumispensioni kindlustus</w:t>
      </w:r>
      <w:r w:rsidR="00CE652A" w:rsidRPr="00CE652A">
        <w:rPr>
          <w:rFonts w:ascii="Times New Roman" w:hAnsi="Times New Roman"/>
          <w:lang w:val="et-EE"/>
        </w:rPr>
        <w:t>lepingu või uue sõlmitud lepingu kindlustusmakse tasumiseks</w:t>
      </w:r>
      <w:r w:rsidR="00CE652A">
        <w:rPr>
          <w:rFonts w:ascii="Times New Roman" w:hAnsi="Times New Roman"/>
          <w:lang w:val="et-EE"/>
        </w:rPr>
        <w:t xml:space="preserve"> ja </w:t>
      </w:r>
      <w:r w:rsidR="00CE652A" w:rsidRPr="00CE652A">
        <w:rPr>
          <w:rFonts w:ascii="Times New Roman" w:hAnsi="Times New Roman"/>
          <w:lang w:val="et-EE"/>
        </w:rPr>
        <w:t>ülesöeldud lepingu kogu tagastusväärtus</w:t>
      </w:r>
      <w:r w:rsidR="00CE652A">
        <w:rPr>
          <w:rFonts w:ascii="Times New Roman" w:hAnsi="Times New Roman"/>
          <w:lang w:val="et-EE"/>
        </w:rPr>
        <w:t>e</w:t>
      </w:r>
      <w:r w:rsidR="00CE652A" w:rsidRPr="00CE652A">
        <w:rPr>
          <w:rFonts w:ascii="Times New Roman" w:hAnsi="Times New Roman"/>
          <w:lang w:val="et-EE"/>
        </w:rPr>
        <w:t xml:space="preserve"> või </w:t>
      </w:r>
      <w:r w:rsidR="00CE652A">
        <w:rPr>
          <w:rFonts w:ascii="Times New Roman" w:hAnsi="Times New Roman"/>
          <w:lang w:val="et-EE"/>
        </w:rPr>
        <w:t xml:space="preserve">sellest </w:t>
      </w:r>
      <w:r w:rsidR="00CE652A" w:rsidRPr="00CE652A">
        <w:rPr>
          <w:rFonts w:ascii="Times New Roman" w:hAnsi="Times New Roman"/>
          <w:lang w:val="et-EE"/>
        </w:rPr>
        <w:t xml:space="preserve">osa </w:t>
      </w:r>
      <w:r w:rsidR="00CE652A">
        <w:rPr>
          <w:rFonts w:ascii="Times New Roman" w:hAnsi="Times New Roman"/>
          <w:lang w:val="et-EE"/>
        </w:rPr>
        <w:t>kasutamist</w:t>
      </w:r>
      <w:r w:rsidR="00CE652A" w:rsidRPr="00CE652A">
        <w:rPr>
          <w:rFonts w:ascii="Times New Roman" w:hAnsi="Times New Roman"/>
          <w:lang w:val="et-EE"/>
        </w:rPr>
        <w:t xml:space="preserve"> vabatahtliku pensionifondi osakute omandamiseks.</w:t>
      </w:r>
      <w:r w:rsidR="00CE652A">
        <w:rPr>
          <w:rFonts w:ascii="Times New Roman" w:hAnsi="Times New Roman"/>
          <w:lang w:val="et-EE"/>
        </w:rPr>
        <w:t xml:space="preserve"> Sellisel juhul kindlustusvõtjale väljamakset ei tehta ning raha liigub otse ühest III samba kindlustuslepingust teise või kindlustuslepingust vabatahtlikku pensionifondi, mis omakorda tähendab, et vastavalt TuMS §-s 21 sätestatule ei tule antud juhul vahepeal kindlustusvõtjal ka tulumaksu tasuda (sest väljamakset talle ei tehta). Sama skeemi lubab KoPS § 63 lõige 5</w:t>
      </w:r>
      <w:r w:rsidR="00CE652A">
        <w:rPr>
          <w:rFonts w:ascii="Times New Roman" w:hAnsi="Times New Roman"/>
          <w:vertAlign w:val="superscript"/>
          <w:lang w:val="et-EE"/>
        </w:rPr>
        <w:t>3</w:t>
      </w:r>
      <w:r w:rsidR="00CE652A">
        <w:rPr>
          <w:rFonts w:ascii="Times New Roman" w:hAnsi="Times New Roman"/>
          <w:lang w:val="et-EE"/>
        </w:rPr>
        <w:t xml:space="preserve"> </w:t>
      </w:r>
      <w:r w:rsidR="00CE652A" w:rsidRPr="00CE652A">
        <w:rPr>
          <w:rFonts w:ascii="Times New Roman" w:hAnsi="Times New Roman"/>
          <w:lang w:val="et-EE"/>
        </w:rPr>
        <w:t>lepingu lõppemisel kohaldada kindlustusvõtja soovil ka selle lepingu alusel väljamaksmisele kuuluva kindlustuspensioni suhtes</w:t>
      </w:r>
      <w:r w:rsidR="00CE652A">
        <w:rPr>
          <w:rFonts w:ascii="Times New Roman" w:hAnsi="Times New Roman"/>
          <w:lang w:val="et-EE"/>
        </w:rPr>
        <w:t xml:space="preserve"> (lepingut ei öelda üles, aga see lõpeb ning siinkohal on samuti kindlustusvõtjal võimalik kogutud summa maksuvabalt teise III samba kindlustuslepingusse või vabatahtlikku pensionifondi liigutada)</w:t>
      </w:r>
      <w:r w:rsidR="00CE652A" w:rsidRPr="00CE652A">
        <w:rPr>
          <w:rFonts w:ascii="Times New Roman" w:hAnsi="Times New Roman"/>
          <w:lang w:val="et-EE"/>
        </w:rPr>
        <w:t>.</w:t>
      </w:r>
      <w:r w:rsidR="00CE652A">
        <w:rPr>
          <w:rFonts w:ascii="Times New Roman" w:hAnsi="Times New Roman"/>
          <w:lang w:val="et-EE"/>
        </w:rPr>
        <w:t xml:space="preserve"> Sarnased võimalused on pensionikogujal ka siis, kui ta kasutab raha kogumiseks vabatahtlikku pensionifondi (vt KoPS § 57, 64 ja 65), st ka osakuomanikul on võimalik vahetada ühe vabatahtliku pensionifondi osakuid teise vabatahtliku pensionifondi osakute vastu või liikuda pensionifondist III samba kindlustuslepingusse ilma, et talle vahepeal väljamakset tehtaks ja et ta vahepeal tulumaksu maksma peaks. Seejuures ei pea osakuomanik tingimata vahetama ära kõiki oma pensionifondi osakuid, aga võib vahetada neist ka vaid osa. Eelnõuga ühtlustatakse III samba pensionifondide ja kindlustuslepingute regulatsiooni selles osas ning pakutakse ka kindlustuslepingu puhul võimalust lasta selle lepingu osaline väljamakse otse teise III samba kindlustuslepingusse või vabatahtlikku pensionifondi kanda. Kindlustusvõtjale sellisel juhul väljamakset ei toimuks, mistõttu oleks ka siin võimalik rakendada TuMS § 21 põhimõtet, et tulumaksu sel hetkel ka tasuma veel ei peaks (vt ka TuMS § 21 muudatuste selgitusi).    </w:t>
      </w:r>
    </w:p>
    <w:p w14:paraId="5E8B2AEB" w14:textId="1CB79F54" w:rsidR="00CE652A" w:rsidRDefault="00CE652A" w:rsidP="00D32BED">
      <w:pPr>
        <w:shd w:val="clear" w:color="auto" w:fill="FFFFFF"/>
        <w:jc w:val="both"/>
        <w:rPr>
          <w:rFonts w:ascii="Times New Roman" w:hAnsi="Times New Roman"/>
          <w:lang w:val="et-EE"/>
        </w:rPr>
      </w:pPr>
    </w:p>
    <w:p w14:paraId="42B3DD2A" w14:textId="77777777" w:rsidR="00CE652A" w:rsidRDefault="00CE652A" w:rsidP="00D32BED">
      <w:pPr>
        <w:shd w:val="clear" w:color="auto" w:fill="FFFFFF"/>
        <w:jc w:val="both"/>
        <w:rPr>
          <w:rFonts w:ascii="Times New Roman" w:hAnsi="Times New Roman"/>
          <w:lang w:val="et-EE"/>
        </w:rPr>
      </w:pPr>
      <w:r>
        <w:rPr>
          <w:rFonts w:ascii="Times New Roman" w:hAnsi="Times New Roman"/>
          <w:lang w:val="et-EE"/>
        </w:rPr>
        <w:t xml:space="preserve">Selleks täiendatakse KoPS § 63 </w:t>
      </w:r>
      <w:r w:rsidRPr="00CE652A">
        <w:rPr>
          <w:rFonts w:ascii="Times New Roman" w:hAnsi="Times New Roman"/>
          <w:u w:val="single"/>
          <w:lang w:val="et-EE"/>
        </w:rPr>
        <w:t xml:space="preserve">lõiget </w:t>
      </w:r>
      <w:r w:rsidR="003B0AD5" w:rsidRPr="00CE652A">
        <w:rPr>
          <w:rFonts w:ascii="Times New Roman" w:hAnsi="Times New Roman"/>
          <w:u w:val="single"/>
          <w:lang w:val="et-EE"/>
        </w:rPr>
        <w:t>5</w:t>
      </w:r>
      <w:r w:rsidR="003B0AD5" w:rsidRPr="00CE652A">
        <w:rPr>
          <w:rFonts w:ascii="Times New Roman" w:hAnsi="Times New Roman"/>
          <w:u w:val="single"/>
          <w:vertAlign w:val="superscript"/>
          <w:lang w:val="et-EE"/>
        </w:rPr>
        <w:t>1</w:t>
      </w:r>
      <w:r w:rsidR="003B0AD5" w:rsidRPr="00CE652A">
        <w:rPr>
          <w:rFonts w:ascii="Times New Roman" w:hAnsi="Times New Roman"/>
          <w:u w:val="single"/>
          <w:lang w:val="et-EE"/>
        </w:rPr>
        <w:t xml:space="preserve"> punktiga 3</w:t>
      </w:r>
      <w:r>
        <w:rPr>
          <w:rFonts w:ascii="Times New Roman" w:hAnsi="Times New Roman"/>
          <w:lang w:val="et-EE"/>
        </w:rPr>
        <w:t xml:space="preserve"> ja sätestatakse, et kindlustusvõtja võib täiendava kogumispensioni saamiseks ka</w:t>
      </w:r>
      <w:r w:rsidR="003B0AD5" w:rsidRPr="00C873BA">
        <w:rPr>
          <w:rFonts w:ascii="Times New Roman" w:hAnsi="Times New Roman"/>
          <w:lang w:val="et-EE"/>
        </w:rPr>
        <w:t>sutada</w:t>
      </w:r>
      <w:r>
        <w:rPr>
          <w:rFonts w:ascii="Times New Roman" w:hAnsi="Times New Roman"/>
          <w:lang w:val="et-EE"/>
        </w:rPr>
        <w:t xml:space="preserve"> ka</w:t>
      </w:r>
      <w:r w:rsidR="003B0AD5" w:rsidRPr="00C873BA">
        <w:rPr>
          <w:rFonts w:ascii="Times New Roman" w:hAnsi="Times New Roman"/>
          <w:lang w:val="et-EE"/>
        </w:rPr>
        <w:t xml:space="preserve"> lepingu osalist väljamakset kindlustusvõtja teise lepingu või uue sõlmitud lepingu kindlustusmakse tasumiseks või vabatahtliku pensionifondi osakute omandamiseks, kui lepingu tingimuste kohaselt kindlustusvõtjale sellist osalist väljamakset võimaldatakse.</w:t>
      </w:r>
      <w:r>
        <w:rPr>
          <w:rFonts w:ascii="Times New Roman" w:hAnsi="Times New Roman"/>
          <w:lang w:val="et-EE"/>
        </w:rPr>
        <w:t xml:space="preserve"> See, kas III samba kindlustusleping osalist väljamakset võimaldab, on reguleeritud lepingu tingimustes. Eelnõu muudab lihtsalt regulatsiooni III samba pensionifondide ja kindlustuslepingute jaoks ühetaoliseks. Vastavalt antakse uus sõnastus ka </w:t>
      </w:r>
      <w:r w:rsidRPr="00CE652A">
        <w:rPr>
          <w:rFonts w:ascii="Times New Roman" w:hAnsi="Times New Roman"/>
          <w:u w:val="single"/>
          <w:lang w:val="et-EE"/>
        </w:rPr>
        <w:t>lõikele 5</w:t>
      </w:r>
      <w:r w:rsidRPr="00CE652A">
        <w:rPr>
          <w:rFonts w:ascii="Times New Roman" w:hAnsi="Times New Roman"/>
          <w:u w:val="single"/>
          <w:vertAlign w:val="superscript"/>
          <w:lang w:val="et-EE"/>
        </w:rPr>
        <w:t>2</w:t>
      </w:r>
      <w:r>
        <w:rPr>
          <w:rFonts w:ascii="Times New Roman" w:hAnsi="Times New Roman"/>
          <w:lang w:val="et-EE"/>
        </w:rPr>
        <w:t>, kuhu lisatakse samuti viide lepingu osalisele väljamaksele.</w:t>
      </w:r>
    </w:p>
    <w:p w14:paraId="2E23B665" w14:textId="77777777" w:rsidR="003B0AD5" w:rsidRDefault="003B0AD5" w:rsidP="00D32BED">
      <w:pPr>
        <w:jc w:val="both"/>
        <w:rPr>
          <w:bCs/>
          <w:i/>
        </w:rPr>
      </w:pPr>
    </w:p>
    <w:p w14:paraId="3B49FBB7" w14:textId="6B4FC428" w:rsidR="00D349D3" w:rsidRPr="00966B16" w:rsidRDefault="00D349D3" w:rsidP="00D32BED">
      <w:pPr>
        <w:widowControl w:val="0"/>
        <w:autoSpaceDE w:val="0"/>
        <w:autoSpaceDN w:val="0"/>
        <w:adjustRightInd w:val="0"/>
        <w:jc w:val="both"/>
        <w:rPr>
          <w:rFonts w:ascii="Times New Roman" w:hAnsi="Times New Roman"/>
          <w:b/>
          <w:bCs/>
          <w:u w:color="0000FF"/>
          <w:lang w:val="et-EE"/>
        </w:rPr>
      </w:pPr>
      <w:r>
        <w:rPr>
          <w:rFonts w:ascii="Times New Roman" w:hAnsi="Times New Roman"/>
          <w:b/>
          <w:bCs/>
          <w:u w:color="0000FF"/>
          <w:lang w:val="et-EE"/>
        </w:rPr>
        <w:t>3.2</w:t>
      </w:r>
      <w:r w:rsidRPr="008D385C">
        <w:rPr>
          <w:rFonts w:ascii="Times New Roman" w:hAnsi="Times New Roman"/>
          <w:b/>
          <w:bCs/>
          <w:u w:color="0000FF"/>
          <w:lang w:val="et-EE"/>
        </w:rPr>
        <w:t xml:space="preserve">. </w:t>
      </w:r>
      <w:r>
        <w:rPr>
          <w:rFonts w:ascii="Times New Roman" w:hAnsi="Times New Roman"/>
          <w:b/>
          <w:bCs/>
          <w:u w:color="0000FF"/>
          <w:lang w:val="et-EE"/>
        </w:rPr>
        <w:t>Eelnõu § 2</w:t>
      </w:r>
      <w:r w:rsidRPr="008D385C">
        <w:rPr>
          <w:rFonts w:ascii="Times New Roman" w:hAnsi="Times New Roman"/>
          <w:b/>
          <w:bCs/>
          <w:u w:color="0000FF"/>
          <w:lang w:val="et-EE"/>
        </w:rPr>
        <w:t xml:space="preserve"> </w:t>
      </w:r>
      <w:r>
        <w:rPr>
          <w:rFonts w:ascii="Times New Roman" w:hAnsi="Times New Roman"/>
          <w:b/>
          <w:bCs/>
          <w:u w:color="0000FF"/>
          <w:lang w:val="et-EE"/>
        </w:rPr>
        <w:t>–</w:t>
      </w:r>
      <w:r w:rsidRPr="008D385C">
        <w:rPr>
          <w:rFonts w:ascii="Times New Roman" w:hAnsi="Times New Roman"/>
          <w:b/>
          <w:bCs/>
          <w:u w:color="0000FF"/>
          <w:lang w:val="et-EE"/>
        </w:rPr>
        <w:t xml:space="preserve"> </w:t>
      </w:r>
      <w:r>
        <w:rPr>
          <w:rFonts w:ascii="Times New Roman" w:hAnsi="Times New Roman"/>
          <w:b/>
          <w:bCs/>
          <w:u w:color="0000FF"/>
          <w:lang w:val="et-EE"/>
        </w:rPr>
        <w:t>investeerimisfondide seaduse (IFS) muutmine</w:t>
      </w:r>
    </w:p>
    <w:p w14:paraId="10740757" w14:textId="0817C21F" w:rsidR="00130058" w:rsidRDefault="00896B87" w:rsidP="00D32BED">
      <w:pPr>
        <w:shd w:val="clear" w:color="auto" w:fill="FFFFFF"/>
        <w:jc w:val="both"/>
        <w:rPr>
          <w:rFonts w:ascii="Times New Roman" w:hAnsi="Times New Roman"/>
          <w:u w:color="0000FF"/>
          <w:lang w:val="et-EE"/>
        </w:rPr>
      </w:pPr>
      <w:r>
        <w:rPr>
          <w:rFonts w:ascii="Times New Roman" w:hAnsi="Times New Roman"/>
          <w:b/>
          <w:bCs/>
          <w:u w:color="0000FF"/>
          <w:lang w:val="et-EE"/>
        </w:rPr>
        <w:t xml:space="preserve">IFS </w:t>
      </w:r>
      <w:r w:rsidRPr="00896B87">
        <w:rPr>
          <w:rFonts w:ascii="Times New Roman" w:hAnsi="Times New Roman"/>
          <w:b/>
          <w:bCs/>
          <w:lang w:val="et-EE"/>
        </w:rPr>
        <w:t>§</w:t>
      </w:r>
      <w:r w:rsidR="00B35938" w:rsidRPr="00896B87">
        <w:rPr>
          <w:rFonts w:ascii="Times New Roman" w:hAnsi="Times New Roman"/>
          <w:b/>
          <w:bCs/>
          <w:lang w:val="et-EE"/>
        </w:rPr>
        <w:t xml:space="preserve"> 37 lõike 3 punkt 1</w:t>
      </w:r>
      <w:r w:rsidRPr="00896B87">
        <w:rPr>
          <w:rFonts w:ascii="Times New Roman" w:hAnsi="Times New Roman"/>
          <w:b/>
          <w:bCs/>
          <w:lang w:val="et-EE"/>
        </w:rPr>
        <w:t>.</w:t>
      </w:r>
      <w:r>
        <w:rPr>
          <w:rFonts w:ascii="Times New Roman" w:hAnsi="Times New Roman"/>
          <w:b/>
          <w:bCs/>
          <w:lang w:val="et-EE"/>
        </w:rPr>
        <w:t xml:space="preserve"> </w:t>
      </w:r>
      <w:r w:rsidRPr="00896B87">
        <w:rPr>
          <w:rFonts w:ascii="Times New Roman" w:hAnsi="Times New Roman"/>
          <w:lang w:val="et-EE"/>
        </w:rPr>
        <w:t>Eelnõuga täpsustatakse, millal ei pea investeerimisfondi tingimuste või põhikirja muudatusi Finantsinspektsiooniga kooskõlasta</w:t>
      </w:r>
      <w:r w:rsidR="006A463C">
        <w:rPr>
          <w:rFonts w:ascii="Times New Roman" w:hAnsi="Times New Roman"/>
          <w:lang w:val="et-EE"/>
        </w:rPr>
        <w:t>m</w:t>
      </w:r>
      <w:r w:rsidRPr="00896B87">
        <w:rPr>
          <w:rFonts w:ascii="Times New Roman" w:hAnsi="Times New Roman"/>
          <w:lang w:val="et-EE"/>
        </w:rPr>
        <w:t xml:space="preserve">a. </w:t>
      </w:r>
      <w:r w:rsidR="00550701">
        <w:rPr>
          <w:rFonts w:ascii="Times New Roman" w:hAnsi="Times New Roman"/>
          <w:lang w:val="et-EE"/>
        </w:rPr>
        <w:t xml:space="preserve">Kehtiva sõnastuse kohaselt ei pea Finantsinspektsiooniga muudatusi kooskõlastama, kui </w:t>
      </w:r>
      <w:r w:rsidR="00550701" w:rsidRPr="00896B87">
        <w:rPr>
          <w:rFonts w:ascii="Times New Roman" w:hAnsi="Times New Roman"/>
          <w:color w:val="202020"/>
          <w:shd w:val="clear" w:color="auto" w:fill="FFFFFF"/>
          <w:lang w:val="et-EE"/>
        </w:rPr>
        <w:t xml:space="preserve">muudetakse üksnes neid sätteid, mida fond on kohustatud muutma tulenevalt õigusaktides tehtud muudatustest või </w:t>
      </w:r>
      <w:r w:rsidR="00550701" w:rsidRPr="00550701">
        <w:rPr>
          <w:rFonts w:ascii="Times New Roman" w:hAnsi="Times New Roman"/>
          <w:color w:val="202020"/>
          <w:shd w:val="clear" w:color="auto" w:fill="FFFFFF"/>
          <w:lang w:val="et-EE"/>
        </w:rPr>
        <w:t>millega tehakse tingimustes või põhikirjas parandusi või muudatusi, mis ei mõjuta osakuomanike või aktsionäride õigusi ja kohustusi või</w:t>
      </w:r>
      <w:r w:rsidR="00550701" w:rsidRPr="00896B87">
        <w:rPr>
          <w:rFonts w:ascii="Times New Roman" w:hAnsi="Times New Roman"/>
          <w:color w:val="202020"/>
          <w:shd w:val="clear" w:color="auto" w:fill="FFFFFF"/>
          <w:lang w:val="et-EE"/>
        </w:rPr>
        <w:t xml:space="preserve"> mis on osakuomanike või aktsionäride suhtes soodustava iseloomuga, nagu osakuomanike või aktsionäride arvel makstavate tasude või kulude piirmäära </w:t>
      </w:r>
      <w:r w:rsidR="00550701" w:rsidRPr="00896B87">
        <w:rPr>
          <w:rFonts w:ascii="Times New Roman" w:hAnsi="Times New Roman"/>
          <w:color w:val="202020"/>
          <w:shd w:val="clear" w:color="auto" w:fill="FFFFFF"/>
          <w:lang w:val="et-EE"/>
        </w:rPr>
        <w:lastRenderedPageBreak/>
        <w:t>alandamine</w:t>
      </w:r>
      <w:r w:rsidR="00550701">
        <w:rPr>
          <w:rFonts w:ascii="Times New Roman" w:hAnsi="Times New Roman"/>
          <w:color w:val="202020"/>
          <w:shd w:val="clear" w:color="auto" w:fill="FFFFFF"/>
          <w:lang w:val="et-EE"/>
        </w:rPr>
        <w:t xml:space="preserve">. Praktikas on ilmnenud, et viide muudatustele, mis ei mõjuta osakuomanike või aktsionäride õigusi ja kohustusi, on mitmeti tõlgendatav, mistõttu muudetakse eelnõuga seda kohta ja sätestatakse otsesõnu, et kooskõlastada ei tule redaktsioonilisi muudatusi. Seeläbi välistatakse katsed muuta kooskõlastamata selliseid punkte, mille puhul tekib järelevalvega vaidlus, kas osakuomanike või aktsionäride õigused ja kohustused jäävad selgelt mõjutamata. Mõeldud on antud tingimuse puhul redaktsioonilisi parandusi ja muudatusi, kus tõepoolest igasugune mõju fondi investorite õigustele ja kohustustele puudub. </w:t>
      </w:r>
      <w:r w:rsidR="00550701" w:rsidRPr="00896B87">
        <w:rPr>
          <w:rFonts w:ascii="Times New Roman" w:hAnsi="Times New Roman"/>
          <w:color w:val="202020"/>
          <w:lang w:val="et-EE"/>
        </w:rPr>
        <w:br/>
      </w:r>
    </w:p>
    <w:p w14:paraId="708F6444" w14:textId="282E095B" w:rsidR="009F52E2" w:rsidRDefault="009F52E2" w:rsidP="00D32BED">
      <w:pPr>
        <w:shd w:val="clear" w:color="auto" w:fill="FFFFFF"/>
        <w:jc w:val="both"/>
        <w:rPr>
          <w:rFonts w:ascii="Times New Roman" w:hAnsi="Times New Roman"/>
          <w:u w:color="0000FF"/>
          <w:lang w:val="et-EE"/>
        </w:rPr>
      </w:pPr>
      <w:r w:rsidRPr="00BE73FA">
        <w:rPr>
          <w:rFonts w:ascii="Times New Roman" w:hAnsi="Times New Roman"/>
          <w:b/>
          <w:bCs/>
          <w:u w:color="0000FF"/>
          <w:lang w:val="et-EE"/>
        </w:rPr>
        <w:t>IFS § 91</w:t>
      </w:r>
      <w:r w:rsidRPr="00BE73FA">
        <w:rPr>
          <w:rFonts w:ascii="Times New Roman" w:hAnsi="Times New Roman"/>
          <w:b/>
          <w:bCs/>
          <w:u w:color="0000FF"/>
          <w:vertAlign w:val="superscript"/>
          <w:lang w:val="et-EE"/>
        </w:rPr>
        <w:t>1</w:t>
      </w:r>
      <w:r w:rsidRPr="00BE73FA">
        <w:rPr>
          <w:rFonts w:ascii="Times New Roman" w:hAnsi="Times New Roman"/>
          <w:b/>
          <w:bCs/>
          <w:u w:color="0000FF"/>
          <w:lang w:val="et-EE"/>
        </w:rPr>
        <w:t xml:space="preserve"> lõike 1 punktid 3 ja 4 ning lõige 3. </w:t>
      </w:r>
      <w:r>
        <w:rPr>
          <w:rFonts w:ascii="Times New Roman" w:hAnsi="Times New Roman"/>
          <w:u w:color="0000FF"/>
          <w:lang w:val="et-EE"/>
        </w:rPr>
        <w:t xml:space="preserve">Paragrahvis on sätestatud täiendavad nõuded </w:t>
      </w:r>
      <w:r w:rsidRPr="009F52E2">
        <w:rPr>
          <w:rFonts w:ascii="Times New Roman" w:hAnsi="Times New Roman"/>
          <w:u w:color="0000FF"/>
          <w:lang w:val="et-EE"/>
        </w:rPr>
        <w:t>fondivalitsejal</w:t>
      </w:r>
      <w:r>
        <w:rPr>
          <w:rFonts w:ascii="Times New Roman" w:hAnsi="Times New Roman"/>
          <w:u w:color="0000FF"/>
          <w:lang w:val="et-EE"/>
        </w:rPr>
        <w:t>e, kui pakutakse</w:t>
      </w:r>
      <w:r w:rsidRPr="009F52E2">
        <w:rPr>
          <w:rFonts w:ascii="Times New Roman" w:hAnsi="Times New Roman"/>
          <w:u w:color="0000FF"/>
          <w:lang w:val="et-EE"/>
        </w:rPr>
        <w:t xml:space="preserve"> alternatiivfondi </w:t>
      </w:r>
      <w:r>
        <w:rPr>
          <w:rFonts w:ascii="Times New Roman" w:hAnsi="Times New Roman"/>
          <w:u w:color="0000FF"/>
          <w:lang w:val="et-EE"/>
        </w:rPr>
        <w:t>isikule</w:t>
      </w:r>
      <w:r w:rsidRPr="009F52E2">
        <w:rPr>
          <w:rFonts w:ascii="Times New Roman" w:hAnsi="Times New Roman"/>
          <w:u w:color="0000FF"/>
          <w:lang w:val="et-EE"/>
        </w:rPr>
        <w:t>, kes ei ole kutseline investor</w:t>
      </w:r>
      <w:r>
        <w:rPr>
          <w:rFonts w:ascii="Times New Roman" w:hAnsi="Times New Roman"/>
          <w:u w:color="0000FF"/>
          <w:lang w:val="et-EE"/>
        </w:rPr>
        <w:t>. Lõike 1 punktides 3 ja 4 ning lõikes 3 tehakse sõnastuslikud täpsustused direktiivi 2019/1160 ülevõtmissätetes</w:t>
      </w:r>
      <w:r w:rsidR="00117DED">
        <w:rPr>
          <w:rFonts w:ascii="Times New Roman" w:hAnsi="Times New Roman"/>
          <w:u w:color="0000FF"/>
          <w:lang w:val="et-EE"/>
        </w:rPr>
        <w:t xml:space="preserve"> (samad täpsustused tehakse ka IFS § 270¹ lõike 1 punktides 3 ja 4, vt selgitust nende kohta IFS § 270¹ muudatuste selgituste juures)</w:t>
      </w:r>
      <w:r>
        <w:rPr>
          <w:rFonts w:ascii="Times New Roman" w:hAnsi="Times New Roman"/>
          <w:u w:color="0000FF"/>
          <w:lang w:val="et-EE"/>
        </w:rPr>
        <w:t xml:space="preserve">. </w:t>
      </w:r>
    </w:p>
    <w:p w14:paraId="38B05D72" w14:textId="77777777" w:rsidR="009F52E2" w:rsidRDefault="009F52E2" w:rsidP="00D32BED">
      <w:pPr>
        <w:shd w:val="clear" w:color="auto" w:fill="FFFFFF"/>
        <w:jc w:val="both"/>
        <w:rPr>
          <w:rFonts w:ascii="Times New Roman" w:hAnsi="Times New Roman"/>
          <w:u w:color="0000FF"/>
          <w:lang w:val="et-EE"/>
        </w:rPr>
      </w:pPr>
    </w:p>
    <w:p w14:paraId="09A91992" w14:textId="5848F75C" w:rsidR="009F52E2" w:rsidRDefault="009F52E2" w:rsidP="00D32BED">
      <w:pPr>
        <w:shd w:val="clear" w:color="auto" w:fill="FFFFFF"/>
        <w:jc w:val="both"/>
        <w:rPr>
          <w:rFonts w:ascii="Times New Roman" w:hAnsi="Times New Roman"/>
          <w:u w:color="0000FF"/>
          <w:lang w:val="et-EE"/>
        </w:rPr>
      </w:pPr>
      <w:r w:rsidRPr="00BE73FA">
        <w:rPr>
          <w:rFonts w:ascii="Times New Roman" w:hAnsi="Times New Roman"/>
          <w:u w:val="single"/>
          <w:lang w:val="et-EE"/>
        </w:rPr>
        <w:t>Lõike 1 punkti 3</w:t>
      </w:r>
      <w:r>
        <w:rPr>
          <w:rFonts w:ascii="Times New Roman" w:hAnsi="Times New Roman"/>
          <w:u w:color="0000FF"/>
          <w:lang w:val="et-EE"/>
        </w:rPr>
        <w:t xml:space="preserve"> m</w:t>
      </w:r>
      <w:r w:rsidRPr="009F52E2">
        <w:rPr>
          <w:rFonts w:ascii="Times New Roman" w:hAnsi="Times New Roman"/>
          <w:u w:color="0000FF"/>
          <w:lang w:val="et-EE"/>
        </w:rPr>
        <w:t>uudatuse aluseks on direktiivi 2019/1160 artikl</w:t>
      </w:r>
      <w:r w:rsidR="00117DED">
        <w:rPr>
          <w:rFonts w:ascii="Times New Roman" w:hAnsi="Times New Roman"/>
          <w:u w:color="0000FF"/>
          <w:lang w:val="et-EE"/>
        </w:rPr>
        <w:t>i</w:t>
      </w:r>
      <w:r w:rsidRPr="009F52E2">
        <w:rPr>
          <w:rFonts w:ascii="Times New Roman" w:hAnsi="Times New Roman"/>
          <w:u w:color="0000FF"/>
          <w:lang w:val="et-EE"/>
        </w:rPr>
        <w:t xml:space="preserve"> 2</w:t>
      </w:r>
      <w:r w:rsidR="00117DED">
        <w:rPr>
          <w:rFonts w:ascii="Times New Roman" w:hAnsi="Times New Roman"/>
          <w:u w:color="0000FF"/>
          <w:lang w:val="et-EE"/>
        </w:rPr>
        <w:t xml:space="preserve"> lõige</w:t>
      </w:r>
      <w:r w:rsidRPr="009F52E2">
        <w:rPr>
          <w:rFonts w:ascii="Times New Roman" w:hAnsi="Times New Roman"/>
          <w:u w:color="0000FF"/>
          <w:lang w:val="et-EE"/>
        </w:rPr>
        <w:t xml:space="preserve">6. IFS-i </w:t>
      </w:r>
      <w:r w:rsidR="00BE73FA">
        <w:rPr>
          <w:rFonts w:ascii="Times New Roman" w:hAnsi="Times New Roman"/>
          <w:u w:color="0000FF"/>
          <w:lang w:val="et-EE"/>
        </w:rPr>
        <w:t>lisatakse s</w:t>
      </w:r>
      <w:r w:rsidRPr="009F52E2">
        <w:rPr>
          <w:rFonts w:ascii="Times New Roman" w:hAnsi="Times New Roman"/>
          <w:u w:color="0000FF"/>
          <w:lang w:val="et-EE"/>
        </w:rPr>
        <w:t>elge nõue, et kui alternatiivfondi pakutakse isikul</w:t>
      </w:r>
      <w:r>
        <w:rPr>
          <w:rFonts w:ascii="Times New Roman" w:hAnsi="Times New Roman"/>
          <w:u w:color="0000FF"/>
          <w:lang w:val="et-EE"/>
        </w:rPr>
        <w:t>e</w:t>
      </w:r>
      <w:r w:rsidRPr="009F52E2">
        <w:rPr>
          <w:rFonts w:ascii="Times New Roman" w:hAnsi="Times New Roman"/>
          <w:u w:color="0000FF"/>
          <w:lang w:val="et-EE"/>
        </w:rPr>
        <w:t>, kes ei ole kutseline investor, siis kohustub fondivalitseja andma isikule muuhulgas infot ka selle kohta, millise</w:t>
      </w:r>
      <w:r w:rsidR="00BE73FA">
        <w:rPr>
          <w:rFonts w:ascii="Times New Roman" w:hAnsi="Times New Roman"/>
          <w:u w:color="0000FF"/>
          <w:lang w:val="et-EE"/>
        </w:rPr>
        <w:t>d</w:t>
      </w:r>
      <w:r w:rsidRPr="009F52E2">
        <w:rPr>
          <w:rFonts w:ascii="Times New Roman" w:hAnsi="Times New Roman"/>
          <w:u w:color="0000FF"/>
          <w:lang w:val="et-EE"/>
        </w:rPr>
        <w:t xml:space="preserve"> õigused isikul siseriiklikest seadustest tulenevalt investorina on.</w:t>
      </w:r>
    </w:p>
    <w:p w14:paraId="7AB0026B" w14:textId="77777777" w:rsidR="00BE73FA" w:rsidRDefault="00BE73FA" w:rsidP="00D32BED">
      <w:pPr>
        <w:shd w:val="clear" w:color="auto" w:fill="FFFFFF"/>
        <w:jc w:val="both"/>
        <w:rPr>
          <w:rFonts w:ascii="Times New Roman" w:hAnsi="Times New Roman"/>
          <w:u w:color="0000FF"/>
          <w:lang w:val="et-EE"/>
        </w:rPr>
      </w:pPr>
    </w:p>
    <w:p w14:paraId="031C21B7" w14:textId="376E9892" w:rsidR="009F52E2" w:rsidRPr="009F52E2" w:rsidRDefault="00BE73FA" w:rsidP="00D32BED">
      <w:pPr>
        <w:shd w:val="clear" w:color="auto" w:fill="FFFFFF"/>
        <w:jc w:val="both"/>
        <w:rPr>
          <w:rFonts w:ascii="Times New Roman" w:hAnsi="Times New Roman"/>
          <w:u w:color="0000FF"/>
          <w:lang w:val="et-EE"/>
        </w:rPr>
      </w:pPr>
      <w:r w:rsidRPr="00BE73FA">
        <w:rPr>
          <w:rFonts w:ascii="Times New Roman" w:hAnsi="Times New Roman"/>
          <w:u w:val="single"/>
          <w:lang w:val="et-EE"/>
        </w:rPr>
        <w:t>Lõike 1 punkti 4</w:t>
      </w:r>
      <w:r>
        <w:rPr>
          <w:rFonts w:ascii="Times New Roman" w:hAnsi="Times New Roman"/>
          <w:u w:color="0000FF"/>
          <w:lang w:val="et-EE"/>
        </w:rPr>
        <w:t xml:space="preserve"> m</w:t>
      </w:r>
      <w:r w:rsidR="009F52E2" w:rsidRPr="009F52E2">
        <w:rPr>
          <w:rFonts w:ascii="Times New Roman" w:hAnsi="Times New Roman"/>
          <w:u w:color="0000FF"/>
          <w:lang w:val="et-EE"/>
        </w:rPr>
        <w:t xml:space="preserve">uudatuse aluseks on </w:t>
      </w:r>
      <w:r>
        <w:rPr>
          <w:rFonts w:ascii="Times New Roman" w:hAnsi="Times New Roman"/>
          <w:u w:color="0000FF"/>
          <w:lang w:val="et-EE"/>
        </w:rPr>
        <w:t xml:space="preserve">samuti </w:t>
      </w:r>
      <w:r w:rsidR="009F52E2" w:rsidRPr="009F52E2">
        <w:rPr>
          <w:rFonts w:ascii="Times New Roman" w:hAnsi="Times New Roman"/>
          <w:u w:color="0000FF"/>
          <w:lang w:val="et-EE"/>
        </w:rPr>
        <w:t>direktiivi 2019/1160 artikl</w:t>
      </w:r>
      <w:r w:rsidR="00117DED">
        <w:rPr>
          <w:rFonts w:ascii="Times New Roman" w:hAnsi="Times New Roman"/>
          <w:u w:color="0000FF"/>
          <w:lang w:val="et-EE"/>
        </w:rPr>
        <w:t>i</w:t>
      </w:r>
      <w:r w:rsidR="009F52E2" w:rsidRPr="009F52E2">
        <w:rPr>
          <w:rFonts w:ascii="Times New Roman" w:hAnsi="Times New Roman"/>
          <w:u w:color="0000FF"/>
          <w:lang w:val="et-EE"/>
        </w:rPr>
        <w:t xml:space="preserve"> 2</w:t>
      </w:r>
      <w:r w:rsidR="00117DED">
        <w:rPr>
          <w:rFonts w:ascii="Times New Roman" w:hAnsi="Times New Roman"/>
          <w:u w:color="0000FF"/>
          <w:lang w:val="et-EE"/>
        </w:rPr>
        <w:t xml:space="preserve"> lõige </w:t>
      </w:r>
      <w:r w:rsidR="009F52E2" w:rsidRPr="009F52E2">
        <w:rPr>
          <w:rFonts w:ascii="Times New Roman" w:hAnsi="Times New Roman"/>
          <w:u w:color="0000FF"/>
          <w:lang w:val="et-EE"/>
        </w:rPr>
        <w:t xml:space="preserve">6. </w:t>
      </w:r>
      <w:r>
        <w:rPr>
          <w:rFonts w:ascii="Times New Roman" w:hAnsi="Times New Roman"/>
          <w:u w:color="0000FF"/>
          <w:lang w:val="et-EE"/>
        </w:rPr>
        <w:t>L</w:t>
      </w:r>
      <w:r w:rsidR="009F52E2" w:rsidRPr="009F52E2">
        <w:rPr>
          <w:rFonts w:ascii="Times New Roman" w:hAnsi="Times New Roman"/>
          <w:u w:color="0000FF"/>
          <w:lang w:val="et-EE"/>
        </w:rPr>
        <w:t>isatakse täiendus, et investoritele kättesaadavaks tehtav teave peab olema esitatud sellisel kujul, et investoril oleks soovi korral võimalik sellest teabest ka koopiaid teha.</w:t>
      </w:r>
    </w:p>
    <w:p w14:paraId="7D361DA9" w14:textId="69461204" w:rsidR="009F52E2" w:rsidRDefault="009F52E2" w:rsidP="00D32BED">
      <w:pPr>
        <w:shd w:val="clear" w:color="auto" w:fill="FFFFFF"/>
        <w:jc w:val="both"/>
        <w:rPr>
          <w:rFonts w:ascii="Times New Roman" w:hAnsi="Times New Roman"/>
          <w:u w:color="0000FF"/>
          <w:lang w:val="et-EE"/>
        </w:rPr>
      </w:pPr>
    </w:p>
    <w:p w14:paraId="57B31245" w14:textId="4AE31878" w:rsidR="00BE73FA" w:rsidRPr="00BE73FA" w:rsidRDefault="00BE73FA" w:rsidP="00D32BED">
      <w:pPr>
        <w:shd w:val="clear" w:color="auto" w:fill="FFFFFF"/>
        <w:jc w:val="both"/>
        <w:rPr>
          <w:rFonts w:ascii="Times New Roman" w:hAnsi="Times New Roman"/>
          <w:u w:color="0000FF"/>
          <w:lang w:val="et-EE"/>
        </w:rPr>
      </w:pPr>
      <w:r w:rsidRPr="00BE73FA">
        <w:rPr>
          <w:rFonts w:ascii="Times New Roman" w:hAnsi="Times New Roman"/>
          <w:u w:val="single"/>
          <w:lang w:val="et-EE"/>
        </w:rPr>
        <w:t>Lõike 3</w:t>
      </w:r>
      <w:r>
        <w:rPr>
          <w:rFonts w:ascii="Times New Roman" w:hAnsi="Times New Roman"/>
          <w:u w:color="0000FF"/>
          <w:lang w:val="et-EE"/>
        </w:rPr>
        <w:t xml:space="preserve"> esimesele lausele antakse eelnõuga uus sõnastus ja lõikesse lisatakse uus teine lause. Kolmas lause jääb uues sõnastuses lõikesse 3 muutmata kujul. </w:t>
      </w:r>
      <w:r w:rsidRPr="00BE73FA">
        <w:rPr>
          <w:rFonts w:ascii="Times New Roman" w:hAnsi="Times New Roman"/>
          <w:u w:color="0000FF"/>
          <w:lang w:val="et-EE"/>
        </w:rPr>
        <w:t>Muudatuse aluseks on direktiivi 2019/1160</w:t>
      </w:r>
      <w:r>
        <w:rPr>
          <w:rFonts w:ascii="Times New Roman" w:hAnsi="Times New Roman"/>
          <w:u w:color="0000FF"/>
          <w:lang w:val="et-EE"/>
        </w:rPr>
        <w:t xml:space="preserve"> </w:t>
      </w:r>
      <w:r w:rsidRPr="00BE73FA">
        <w:rPr>
          <w:rFonts w:ascii="Times New Roman" w:hAnsi="Times New Roman"/>
          <w:u w:color="0000FF"/>
          <w:lang w:val="et-EE"/>
        </w:rPr>
        <w:t>artikl</w:t>
      </w:r>
      <w:r>
        <w:rPr>
          <w:rFonts w:ascii="Times New Roman" w:hAnsi="Times New Roman"/>
          <w:u w:color="0000FF"/>
          <w:lang w:val="et-EE"/>
        </w:rPr>
        <w:t>i</w:t>
      </w:r>
      <w:r w:rsidRPr="00BE73FA">
        <w:rPr>
          <w:rFonts w:ascii="Times New Roman" w:hAnsi="Times New Roman"/>
          <w:u w:color="0000FF"/>
          <w:lang w:val="et-EE"/>
        </w:rPr>
        <w:t xml:space="preserve"> 1</w:t>
      </w:r>
      <w:r w:rsidR="00117DED">
        <w:rPr>
          <w:rFonts w:ascii="Times New Roman" w:hAnsi="Times New Roman"/>
          <w:u w:color="0000FF"/>
          <w:lang w:val="et-EE"/>
        </w:rPr>
        <w:t xml:space="preserve"> lõige </w:t>
      </w:r>
      <w:r w:rsidRPr="00BE73FA">
        <w:rPr>
          <w:rFonts w:ascii="Times New Roman" w:hAnsi="Times New Roman"/>
          <w:u w:color="0000FF"/>
          <w:lang w:val="et-EE"/>
        </w:rPr>
        <w:t xml:space="preserve">4 ja </w:t>
      </w:r>
      <w:r w:rsidR="00117DED">
        <w:rPr>
          <w:rFonts w:ascii="Times New Roman" w:hAnsi="Times New Roman"/>
          <w:u w:color="0000FF"/>
          <w:lang w:val="et-EE"/>
        </w:rPr>
        <w:t xml:space="preserve">artikli </w:t>
      </w:r>
      <w:r w:rsidRPr="00BE73FA">
        <w:rPr>
          <w:rFonts w:ascii="Times New Roman" w:hAnsi="Times New Roman"/>
          <w:u w:color="0000FF"/>
          <w:lang w:val="et-EE"/>
        </w:rPr>
        <w:t>2</w:t>
      </w:r>
      <w:r w:rsidR="00117DED">
        <w:rPr>
          <w:rFonts w:ascii="Times New Roman" w:hAnsi="Times New Roman"/>
          <w:u w:color="0000FF"/>
          <w:lang w:val="et-EE"/>
        </w:rPr>
        <w:t xml:space="preserve"> lõige </w:t>
      </w:r>
      <w:r w:rsidRPr="00BE73FA">
        <w:rPr>
          <w:rFonts w:ascii="Times New Roman" w:hAnsi="Times New Roman"/>
          <w:u w:color="0000FF"/>
          <w:lang w:val="et-EE"/>
        </w:rPr>
        <w:t xml:space="preserve">6. IFS-i lisatakse selge viide, et fondile </w:t>
      </w:r>
      <w:r>
        <w:rPr>
          <w:rFonts w:ascii="Times New Roman" w:hAnsi="Times New Roman"/>
          <w:u w:color="0000FF"/>
          <w:lang w:val="et-EE"/>
        </w:rPr>
        <w:t>sama paragrahvi</w:t>
      </w:r>
      <w:r w:rsidRPr="00BE73FA">
        <w:rPr>
          <w:rFonts w:ascii="Times New Roman" w:hAnsi="Times New Roman"/>
          <w:u w:color="0000FF"/>
          <w:lang w:val="et-EE"/>
        </w:rPr>
        <w:t xml:space="preserve"> l</w:t>
      </w:r>
      <w:r>
        <w:rPr>
          <w:rFonts w:ascii="Times New Roman" w:hAnsi="Times New Roman"/>
          <w:u w:color="0000FF"/>
          <w:lang w:val="et-EE"/>
        </w:rPr>
        <w:t>õikes</w:t>
      </w:r>
      <w:r w:rsidRPr="00BE73FA">
        <w:rPr>
          <w:rFonts w:ascii="Times New Roman" w:hAnsi="Times New Roman"/>
          <w:u w:color="0000FF"/>
          <w:lang w:val="et-EE"/>
        </w:rPr>
        <w:t xml:space="preserve"> 1 </w:t>
      </w:r>
      <w:r>
        <w:rPr>
          <w:rFonts w:ascii="Times New Roman" w:hAnsi="Times New Roman"/>
          <w:u w:color="0000FF"/>
          <w:lang w:val="et-EE"/>
        </w:rPr>
        <w:t>pandu</w:t>
      </w:r>
      <w:r w:rsidRPr="00BE73FA">
        <w:rPr>
          <w:rFonts w:ascii="Times New Roman" w:hAnsi="Times New Roman"/>
          <w:u w:color="0000FF"/>
          <w:lang w:val="et-EE"/>
        </w:rPr>
        <w:t>d kohustusi võib täita kas fondivalitseja, tema määratud kolmas isik või mõlemad, jagades kohustuste täitmist omavahel.</w:t>
      </w:r>
    </w:p>
    <w:p w14:paraId="7621E733" w14:textId="77777777" w:rsidR="00BE73FA" w:rsidRDefault="00BE73FA" w:rsidP="00D32BED">
      <w:pPr>
        <w:shd w:val="clear" w:color="auto" w:fill="FFFFFF"/>
        <w:jc w:val="both"/>
        <w:rPr>
          <w:rFonts w:ascii="Times New Roman" w:hAnsi="Times New Roman"/>
          <w:u w:color="0000FF"/>
          <w:lang w:val="et-EE"/>
        </w:rPr>
      </w:pPr>
    </w:p>
    <w:p w14:paraId="61E36189" w14:textId="1BADA2D0" w:rsidR="00E259DC" w:rsidRPr="00CB1723" w:rsidRDefault="00550701" w:rsidP="00D32BED">
      <w:pPr>
        <w:jc w:val="both"/>
        <w:rPr>
          <w:rFonts w:ascii="Times New Roman" w:hAnsi="Times New Roman"/>
          <w:lang w:val="et-EE"/>
        </w:rPr>
      </w:pPr>
      <w:r>
        <w:rPr>
          <w:rFonts w:ascii="Times New Roman" w:hAnsi="Times New Roman"/>
          <w:b/>
          <w:bCs/>
          <w:lang w:val="et-EE"/>
        </w:rPr>
        <w:t xml:space="preserve">IFS § </w:t>
      </w:r>
      <w:r w:rsidR="0099143B" w:rsidRPr="0016693B">
        <w:rPr>
          <w:rFonts w:ascii="Times New Roman" w:hAnsi="Times New Roman"/>
          <w:b/>
          <w:bCs/>
          <w:lang w:val="et-EE"/>
        </w:rPr>
        <w:t>103 lõi</w:t>
      </w:r>
      <w:r w:rsidRPr="0016693B">
        <w:rPr>
          <w:rFonts w:ascii="Times New Roman" w:hAnsi="Times New Roman"/>
          <w:b/>
          <w:bCs/>
          <w:lang w:val="et-EE"/>
        </w:rPr>
        <w:t>g</w:t>
      </w:r>
      <w:r w:rsidR="0099143B" w:rsidRPr="0016693B">
        <w:rPr>
          <w:rFonts w:ascii="Times New Roman" w:hAnsi="Times New Roman"/>
          <w:b/>
          <w:bCs/>
          <w:lang w:val="et-EE"/>
        </w:rPr>
        <w:t>e 4</w:t>
      </w:r>
      <w:r w:rsidRPr="0016693B">
        <w:rPr>
          <w:rFonts w:ascii="Times New Roman" w:hAnsi="Times New Roman"/>
          <w:b/>
          <w:bCs/>
          <w:lang w:val="et-EE"/>
        </w:rPr>
        <w:t>.</w:t>
      </w:r>
      <w:r>
        <w:rPr>
          <w:rFonts w:ascii="Times New Roman" w:hAnsi="Times New Roman"/>
          <w:lang w:val="et-EE"/>
        </w:rPr>
        <w:t xml:space="preserve"> </w:t>
      </w:r>
      <w:r w:rsidR="0016693B">
        <w:rPr>
          <w:rFonts w:ascii="Times New Roman" w:hAnsi="Times New Roman"/>
          <w:lang w:val="et-EE"/>
        </w:rPr>
        <w:t xml:space="preserve">Paragrahv sätestab, kuhu võib investeerida eurofondi vara. Lõike 4 kohaselt ei või eurofondi vara investeerida </w:t>
      </w:r>
      <w:r w:rsidR="0016693B" w:rsidRPr="0016693B">
        <w:rPr>
          <w:rFonts w:ascii="Times New Roman" w:hAnsi="Times New Roman"/>
          <w:lang w:val="et-EE"/>
        </w:rPr>
        <w:t>väärismetallidesse</w:t>
      </w:r>
      <w:r w:rsidR="00CB1723">
        <w:rPr>
          <w:rStyle w:val="Allmrkuseviide"/>
          <w:rFonts w:ascii="Times New Roman" w:hAnsi="Times New Roman"/>
          <w:lang w:val="et-EE"/>
        </w:rPr>
        <w:footnoteReference w:id="1"/>
      </w:r>
      <w:r w:rsidR="0016693B" w:rsidRPr="0016693B">
        <w:rPr>
          <w:rFonts w:ascii="Times New Roman" w:hAnsi="Times New Roman"/>
          <w:lang w:val="et-EE"/>
        </w:rPr>
        <w:t xml:space="preserve"> ja väärtpaberitesse, mille alusvaraks on väärismetall või mille hind sõltub väärismetallist.</w:t>
      </w:r>
      <w:r w:rsidR="0016693B">
        <w:rPr>
          <w:rFonts w:ascii="Times New Roman" w:hAnsi="Times New Roman"/>
          <w:lang w:val="et-EE"/>
        </w:rPr>
        <w:t xml:space="preserve"> Sellest piirangust teeb erisuse pensionifondide regulatsioon (IFS § 123), mis sätestab, et IFS § 103 lõikes 4 nimetatud varasse ja </w:t>
      </w:r>
      <w:r w:rsidR="0016693B" w:rsidRPr="0016693B">
        <w:rPr>
          <w:rFonts w:ascii="Times New Roman" w:hAnsi="Times New Roman"/>
          <w:lang w:val="et-EE"/>
        </w:rPr>
        <w:t xml:space="preserve">väärtpaberitesse, mille alusvaraks </w:t>
      </w:r>
      <w:r w:rsidR="0016693B">
        <w:rPr>
          <w:rFonts w:ascii="Times New Roman" w:hAnsi="Times New Roman"/>
          <w:lang w:val="et-EE"/>
        </w:rPr>
        <w:t xml:space="preserve">on </w:t>
      </w:r>
      <w:r w:rsidR="0016693B" w:rsidRPr="0016693B">
        <w:rPr>
          <w:rFonts w:ascii="Times New Roman" w:hAnsi="Times New Roman"/>
          <w:lang w:val="et-EE"/>
        </w:rPr>
        <w:t xml:space="preserve">toore või mille hind sõltub </w:t>
      </w:r>
      <w:r w:rsidR="0016693B">
        <w:rPr>
          <w:rFonts w:ascii="Times New Roman" w:hAnsi="Times New Roman"/>
          <w:lang w:val="et-EE"/>
        </w:rPr>
        <w:t xml:space="preserve">sellest võib pensionifondi varast investeerida kuni 25%. </w:t>
      </w:r>
      <w:r w:rsidR="00126721">
        <w:rPr>
          <w:rFonts w:ascii="Times New Roman" w:hAnsi="Times New Roman"/>
          <w:lang w:val="et-EE"/>
        </w:rPr>
        <w:t>Kõnealuste sätete tõlgendamisküsimused on toonud esile, et IFS § 103 lõige 4 ei ole üheselt vastavuses direktiivi</w:t>
      </w:r>
      <w:r w:rsidR="00126721" w:rsidRPr="00126721">
        <w:rPr>
          <w:rFonts w:ascii="Times New Roman" w:hAnsi="Times New Roman"/>
          <w:lang w:val="et-EE"/>
        </w:rPr>
        <w:t xml:space="preserve"> 2009/65/EÜ</w:t>
      </w:r>
      <w:r w:rsidR="00126721">
        <w:rPr>
          <w:rFonts w:ascii="Times New Roman" w:hAnsi="Times New Roman"/>
          <w:lang w:val="et-EE"/>
        </w:rPr>
        <w:t xml:space="preserve"> artikli 50 punktiga (2)b), mille kohaselt ei ole eurofondidel lubatud omandada </w:t>
      </w:r>
      <w:r w:rsidR="00126721" w:rsidRPr="00126721">
        <w:rPr>
          <w:rFonts w:ascii="Times New Roman" w:hAnsi="Times New Roman"/>
          <w:lang w:val="et-EE"/>
        </w:rPr>
        <w:t>väärismetalle ega nende sertifikaate.</w:t>
      </w:r>
      <w:r w:rsidR="00126721">
        <w:rPr>
          <w:rFonts w:ascii="Times New Roman" w:hAnsi="Times New Roman"/>
          <w:lang w:val="et-EE"/>
        </w:rPr>
        <w:t xml:space="preserve"> </w:t>
      </w:r>
      <w:r w:rsidR="00E52BA8">
        <w:rPr>
          <w:rFonts w:ascii="Times New Roman" w:hAnsi="Times New Roman"/>
          <w:lang w:val="et-EE"/>
        </w:rPr>
        <w:t>Ehk antud juhul võib jõuda järeldusele, et kehtiva IFS § 103 lõike 4 piirang on laiema tähendusega kui direktiiv on ette näinud. Seda seepärast, et väärismetalli sertifikaadi all peetakse silmas üldjuhul vastavat väärismetalli esindavat nö tunnistust (tõendab üldjuhul konkreetse väärismetalli ja selle koguse olemasolu) või ka ETC-id (</w:t>
      </w:r>
      <w:r w:rsidR="00E52BA8" w:rsidRPr="0025628D">
        <w:rPr>
          <w:rFonts w:ascii="Times New Roman" w:hAnsi="Times New Roman"/>
          <w:i/>
          <w:iCs/>
          <w:lang w:val="et-EE"/>
        </w:rPr>
        <w:t>exchange traded commodites</w:t>
      </w:r>
      <w:r w:rsidR="00E52BA8">
        <w:rPr>
          <w:rFonts w:ascii="Times New Roman" w:hAnsi="Times New Roman"/>
          <w:lang w:val="et-EE"/>
        </w:rPr>
        <w:t xml:space="preserve">), kus konkreetselt vastav tagatis ongi väärismetallides ehk mis annavad vastavate metallide osas nö füüsilise hoidmisvõimaluse. Väärtpabereid, mille alusvaraks võivad olla väärismetallid, võib aga mõista laiemalt – nende all võib silmas pidada ka erinevaid tuletisinstrumente, millega saab lihtsalt ka kaubelda. </w:t>
      </w:r>
      <w:r w:rsidR="00126721">
        <w:rPr>
          <w:rFonts w:ascii="Times New Roman" w:hAnsi="Times New Roman"/>
          <w:lang w:val="et-EE"/>
        </w:rPr>
        <w:t>Eelnõuga viiakse IFS § 103 lõikes 4 sätestatud eurofondide investeerimispiirang vastavusse viidatud sättega direktiivis</w:t>
      </w:r>
      <w:r w:rsidR="00E52BA8">
        <w:rPr>
          <w:rFonts w:ascii="Times New Roman" w:hAnsi="Times New Roman"/>
          <w:lang w:val="et-EE"/>
        </w:rPr>
        <w:t>,</w:t>
      </w:r>
      <w:r w:rsidR="00126721">
        <w:rPr>
          <w:rFonts w:ascii="Times New Roman" w:hAnsi="Times New Roman"/>
          <w:lang w:val="et-EE"/>
        </w:rPr>
        <w:t xml:space="preserve"> sätesta</w:t>
      </w:r>
      <w:r w:rsidR="00E52BA8">
        <w:rPr>
          <w:rFonts w:ascii="Times New Roman" w:hAnsi="Times New Roman"/>
          <w:lang w:val="et-EE"/>
        </w:rPr>
        <w:t>des IFS § 103 lõikes 4 selle piirangu kitsamas tähenduses – see tähendab,</w:t>
      </w:r>
      <w:r w:rsidR="00126721">
        <w:rPr>
          <w:rFonts w:ascii="Times New Roman" w:hAnsi="Times New Roman"/>
          <w:lang w:val="et-EE"/>
        </w:rPr>
        <w:t xml:space="preserve"> et e</w:t>
      </w:r>
      <w:r w:rsidR="00126721" w:rsidRPr="00126721">
        <w:rPr>
          <w:rFonts w:ascii="Times New Roman" w:hAnsi="Times New Roman"/>
          <w:lang w:val="et-EE"/>
        </w:rPr>
        <w:t xml:space="preserve">urofondi vara ei või investeerida väärismetallidesse ega </w:t>
      </w:r>
      <w:r w:rsidR="00E52BA8">
        <w:rPr>
          <w:rFonts w:ascii="Times New Roman" w:hAnsi="Times New Roman"/>
          <w:lang w:val="et-EE"/>
        </w:rPr>
        <w:lastRenderedPageBreak/>
        <w:t xml:space="preserve">konkreetselt </w:t>
      </w:r>
      <w:r w:rsidR="00126721" w:rsidRPr="00126721">
        <w:rPr>
          <w:rFonts w:ascii="Times New Roman" w:hAnsi="Times New Roman"/>
          <w:lang w:val="et-EE"/>
        </w:rPr>
        <w:t>neid esindavatesse sertifikaatidesse</w:t>
      </w:r>
      <w:r w:rsidR="00126721">
        <w:rPr>
          <w:rFonts w:ascii="Times New Roman" w:hAnsi="Times New Roman"/>
          <w:lang w:val="et-EE"/>
        </w:rPr>
        <w:t>. Piirangu laien</w:t>
      </w:r>
      <w:r w:rsidR="00E259DC">
        <w:rPr>
          <w:rFonts w:ascii="Times New Roman" w:hAnsi="Times New Roman"/>
          <w:lang w:val="et-EE"/>
        </w:rPr>
        <w:t>d</w:t>
      </w:r>
      <w:r w:rsidR="00126721">
        <w:rPr>
          <w:rFonts w:ascii="Times New Roman" w:hAnsi="Times New Roman"/>
          <w:lang w:val="et-EE"/>
        </w:rPr>
        <w:t>amine võrreldes direktiivis sätestatuga ei ole olnud taotluslik</w:t>
      </w:r>
      <w:r w:rsidR="00E259DC">
        <w:rPr>
          <w:rFonts w:ascii="Times New Roman" w:hAnsi="Times New Roman"/>
          <w:lang w:val="et-EE"/>
        </w:rPr>
        <w:t xml:space="preserve"> ning IFS § 103 lõike 4 eesmärgiks ei ole olnud välistada investeeringuid näiteks </w:t>
      </w:r>
      <w:r w:rsidR="00E259DC">
        <w:rPr>
          <w:rFonts w:ascii="Times New Roman" w:hAnsi="Times New Roman"/>
          <w:color w:val="202020"/>
          <w:lang w:val="et-EE" w:eastAsia="et-EE"/>
        </w:rPr>
        <w:t>väärismetallide</w:t>
      </w:r>
      <w:r w:rsidR="00E259DC" w:rsidRPr="00896B87">
        <w:rPr>
          <w:rFonts w:ascii="Times New Roman" w:hAnsi="Times New Roman"/>
          <w:color w:val="202020"/>
          <w:lang w:val="et-EE" w:eastAsia="et-EE"/>
        </w:rPr>
        <w:t xml:space="preserve"> kaevandajatesse vmt instrumentidesse</w:t>
      </w:r>
      <w:r w:rsidR="00CB1723">
        <w:rPr>
          <w:rFonts w:ascii="Times New Roman" w:hAnsi="Times New Roman"/>
          <w:color w:val="202020"/>
          <w:lang w:val="et-EE" w:eastAsia="et-EE"/>
        </w:rPr>
        <w:t xml:space="preserve"> või siit tulenevalt omakorda pensionifondidel </w:t>
      </w:r>
      <w:r w:rsidR="00C1073B">
        <w:rPr>
          <w:rFonts w:ascii="Times New Roman" w:hAnsi="Times New Roman"/>
          <w:color w:val="202020"/>
          <w:lang w:val="et-EE" w:eastAsia="et-EE"/>
        </w:rPr>
        <w:t>näiteks</w:t>
      </w:r>
      <w:r w:rsidR="00CB1723">
        <w:rPr>
          <w:rFonts w:ascii="Times New Roman" w:hAnsi="Times New Roman"/>
          <w:color w:val="202020"/>
          <w:lang w:val="et-EE" w:eastAsia="et-EE"/>
        </w:rPr>
        <w:t xml:space="preserve"> tuuleparkidesse</w:t>
      </w:r>
      <w:r w:rsidR="00E259DC">
        <w:rPr>
          <w:rFonts w:ascii="Times New Roman" w:hAnsi="Times New Roman"/>
          <w:color w:val="202020"/>
          <w:lang w:val="et-EE" w:eastAsia="et-EE"/>
        </w:rPr>
        <w:t xml:space="preserve">. </w:t>
      </w:r>
    </w:p>
    <w:p w14:paraId="4FD91877" w14:textId="77777777" w:rsidR="00A26B21" w:rsidRDefault="00A26B21" w:rsidP="00D32BED">
      <w:pPr>
        <w:jc w:val="both"/>
        <w:rPr>
          <w:rFonts w:ascii="Times New Roman" w:hAnsi="Times New Roman"/>
          <w:lang w:val="et-EE"/>
        </w:rPr>
      </w:pPr>
    </w:p>
    <w:p w14:paraId="6E58BD88" w14:textId="5429E6BA" w:rsidR="00550701" w:rsidRDefault="00A26B21" w:rsidP="00D32BED">
      <w:pPr>
        <w:jc w:val="both"/>
        <w:rPr>
          <w:rFonts w:ascii="Times New Roman" w:hAnsi="Times New Roman"/>
          <w:lang w:val="et-EE"/>
        </w:rPr>
      </w:pPr>
      <w:r w:rsidRPr="00C40F30">
        <w:rPr>
          <w:rFonts w:ascii="Times New Roman" w:hAnsi="Times New Roman"/>
          <w:b/>
          <w:bCs/>
          <w:lang w:val="et-EE"/>
        </w:rPr>
        <w:t>IFS § 120 lõike 2 punkt 2.</w:t>
      </w:r>
      <w:r>
        <w:rPr>
          <w:rFonts w:ascii="Times New Roman" w:hAnsi="Times New Roman"/>
          <w:lang w:val="et-EE"/>
        </w:rPr>
        <w:t xml:space="preserve"> Paragrahv reguleerib muu avaliku fondi, mis ei ole eurofond ega pensionifond,</w:t>
      </w:r>
      <w:r w:rsidRPr="00A26B21">
        <w:rPr>
          <w:rFonts w:ascii="Times New Roman" w:hAnsi="Times New Roman"/>
          <w:lang w:val="et-EE"/>
        </w:rPr>
        <w:t xml:space="preserve"> vara investeerimise ja riskide hajutamise nõude</w:t>
      </w:r>
      <w:r>
        <w:rPr>
          <w:rFonts w:ascii="Times New Roman" w:hAnsi="Times New Roman"/>
          <w:lang w:val="et-EE"/>
        </w:rPr>
        <w:t>i</w:t>
      </w:r>
      <w:r w:rsidRPr="00A26B21">
        <w:rPr>
          <w:rFonts w:ascii="Times New Roman" w:hAnsi="Times New Roman"/>
          <w:lang w:val="et-EE"/>
        </w:rPr>
        <w:t>d</w:t>
      </w:r>
      <w:r>
        <w:rPr>
          <w:rFonts w:ascii="Times New Roman" w:hAnsi="Times New Roman"/>
          <w:lang w:val="et-EE"/>
        </w:rPr>
        <w:t xml:space="preserve">. Selle lõige 2 sätestab, millesse võib selline fond lisaks IFS §-s 103 sätestatule investeerida. Muu hulgas lubab lõike 2 punkt 2 investeerida ka </w:t>
      </w:r>
      <w:r w:rsidRPr="00A26B21">
        <w:rPr>
          <w:rFonts w:ascii="Times New Roman" w:hAnsi="Times New Roman"/>
          <w:lang w:val="et-EE"/>
        </w:rPr>
        <w:t>väärismetallidesse ja väärtpaberitesse, mille alusvaraks on väärismetall või mille hind sõltub väärismetallist.</w:t>
      </w:r>
      <w:r>
        <w:rPr>
          <w:rFonts w:ascii="Times New Roman" w:hAnsi="Times New Roman"/>
          <w:lang w:val="et-EE"/>
        </w:rPr>
        <w:t xml:space="preserve"> Mõeldud on, et eurofondide suhtes kohalduvat väärismetalle puudutavat investeerimispiirangut nende muude fondide suhtes ei rakendata. Tulenevalt IFS § 103 lõike 4 sõnastuse täpsustamist vajab samasugust muudatust ka IFS § 120 lõike 2 punkt 2. </w:t>
      </w:r>
      <w:r w:rsidR="00C40F30">
        <w:rPr>
          <w:rFonts w:ascii="Times New Roman" w:hAnsi="Times New Roman"/>
          <w:lang w:val="et-EE"/>
        </w:rPr>
        <w:t>Mõte on jätkuvalt sama – kui eurofondidel ei ole lubatud investeerida väärismetallidesse ega neid esindavatesse sertifikaatidesse, siis muudel avalikel fondidel on see lubatud. Eelnõuga tehakse vastav sõnastuslik täpsustus.</w:t>
      </w:r>
      <w:r w:rsidR="00126721">
        <w:rPr>
          <w:rFonts w:ascii="Times New Roman" w:hAnsi="Times New Roman"/>
          <w:lang w:val="et-EE"/>
        </w:rPr>
        <w:t xml:space="preserve">   </w:t>
      </w:r>
      <w:r w:rsidR="0016693B">
        <w:rPr>
          <w:rFonts w:ascii="Times New Roman" w:hAnsi="Times New Roman"/>
          <w:lang w:val="et-EE"/>
        </w:rPr>
        <w:t xml:space="preserve"> </w:t>
      </w:r>
    </w:p>
    <w:p w14:paraId="014C0FCB" w14:textId="77777777" w:rsidR="00A26B21" w:rsidRDefault="00A26B21" w:rsidP="00D32BED">
      <w:pPr>
        <w:jc w:val="both"/>
        <w:rPr>
          <w:rFonts w:ascii="Times New Roman" w:hAnsi="Times New Roman"/>
          <w:lang w:val="et-EE"/>
        </w:rPr>
      </w:pPr>
    </w:p>
    <w:p w14:paraId="70A66147" w14:textId="0AF7EDFF" w:rsidR="00BC3D05" w:rsidRDefault="00E259DC" w:rsidP="00D32BED">
      <w:pPr>
        <w:jc w:val="both"/>
        <w:rPr>
          <w:rFonts w:ascii="Times New Roman" w:hAnsi="Times New Roman"/>
          <w:lang w:val="et-EE"/>
        </w:rPr>
      </w:pPr>
      <w:r w:rsidRPr="00E259DC">
        <w:rPr>
          <w:rFonts w:ascii="Times New Roman" w:hAnsi="Times New Roman"/>
          <w:b/>
          <w:bCs/>
          <w:lang w:val="et-EE"/>
        </w:rPr>
        <w:t xml:space="preserve">IFS § 121 lõike 2 </w:t>
      </w:r>
      <w:r w:rsidR="00F9123C" w:rsidRPr="00F9123C">
        <w:rPr>
          <w:rFonts w:ascii="Times New Roman" w:hAnsi="Times New Roman"/>
          <w:b/>
          <w:bCs/>
          <w:lang w:val="et-EE"/>
        </w:rPr>
        <w:t>punktid 2 ja 3</w:t>
      </w:r>
      <w:r w:rsidRPr="00E259DC">
        <w:rPr>
          <w:rFonts w:ascii="Times New Roman" w:hAnsi="Times New Roman"/>
          <w:b/>
          <w:bCs/>
          <w:lang w:val="et-EE"/>
        </w:rPr>
        <w:t xml:space="preserve">. </w:t>
      </w:r>
      <w:r w:rsidR="00497E82">
        <w:rPr>
          <w:rFonts w:ascii="Times New Roman" w:hAnsi="Times New Roman"/>
          <w:lang w:val="et-EE"/>
        </w:rPr>
        <w:t>Paragrahvi 121 lõige 2 sätestab varaklassid, millesse, erinevalt eurofondidest, võib pensionifondi vara lisaks investeerida.</w:t>
      </w:r>
      <w:r w:rsidR="009E080F">
        <w:rPr>
          <w:rFonts w:ascii="Times New Roman" w:hAnsi="Times New Roman"/>
          <w:lang w:val="et-EE"/>
        </w:rPr>
        <w:t xml:space="preserve"> Tulenevalt IFS § 10</w:t>
      </w:r>
      <w:r w:rsidR="00A45F44">
        <w:rPr>
          <w:rFonts w:ascii="Times New Roman" w:hAnsi="Times New Roman"/>
          <w:lang w:val="et-EE"/>
        </w:rPr>
        <w:t>3</w:t>
      </w:r>
      <w:r w:rsidR="009E080F">
        <w:rPr>
          <w:rFonts w:ascii="Times New Roman" w:hAnsi="Times New Roman"/>
          <w:lang w:val="et-EE"/>
        </w:rPr>
        <w:t xml:space="preserve"> lõike </w:t>
      </w:r>
      <w:r w:rsidR="00A45F44">
        <w:rPr>
          <w:rFonts w:ascii="Times New Roman" w:hAnsi="Times New Roman"/>
          <w:lang w:val="et-EE"/>
        </w:rPr>
        <w:t xml:space="preserve">4 </w:t>
      </w:r>
      <w:r w:rsidR="009E080F">
        <w:rPr>
          <w:rFonts w:ascii="Times New Roman" w:hAnsi="Times New Roman"/>
          <w:lang w:val="et-EE"/>
        </w:rPr>
        <w:t>ja § 123 sõnastuste muutmisest täpsustata</w:t>
      </w:r>
      <w:r w:rsidR="00A45F44">
        <w:rPr>
          <w:rFonts w:ascii="Times New Roman" w:hAnsi="Times New Roman"/>
          <w:lang w:val="et-EE"/>
        </w:rPr>
        <w:t>k</w:t>
      </w:r>
      <w:r w:rsidR="009E080F">
        <w:rPr>
          <w:rFonts w:ascii="Times New Roman" w:hAnsi="Times New Roman"/>
          <w:lang w:val="et-EE"/>
        </w:rPr>
        <w:t>se</w:t>
      </w:r>
      <w:r w:rsidR="00A45F44">
        <w:rPr>
          <w:rFonts w:ascii="Times New Roman" w:hAnsi="Times New Roman"/>
          <w:lang w:val="et-EE"/>
        </w:rPr>
        <w:t xml:space="preserve"> eelnõuga ka </w:t>
      </w:r>
      <w:r w:rsidR="009E080F">
        <w:rPr>
          <w:rFonts w:ascii="Times New Roman" w:hAnsi="Times New Roman"/>
          <w:lang w:val="et-EE"/>
        </w:rPr>
        <w:t>IFS § 121 lõike 2 punkti</w:t>
      </w:r>
      <w:r w:rsidR="00A45F44">
        <w:rPr>
          <w:rFonts w:ascii="Times New Roman" w:hAnsi="Times New Roman"/>
          <w:lang w:val="et-EE"/>
        </w:rPr>
        <w:t>de</w:t>
      </w:r>
      <w:r w:rsidR="009E080F">
        <w:rPr>
          <w:rFonts w:ascii="Times New Roman" w:hAnsi="Times New Roman"/>
          <w:lang w:val="et-EE"/>
        </w:rPr>
        <w:t xml:space="preserve"> 2</w:t>
      </w:r>
      <w:r w:rsidR="00A45F44">
        <w:rPr>
          <w:rFonts w:ascii="Times New Roman" w:hAnsi="Times New Roman"/>
          <w:lang w:val="et-EE"/>
        </w:rPr>
        <w:t xml:space="preserve"> ja 3</w:t>
      </w:r>
      <w:r w:rsidR="009E080F">
        <w:rPr>
          <w:rFonts w:ascii="Times New Roman" w:hAnsi="Times New Roman"/>
          <w:lang w:val="et-EE"/>
        </w:rPr>
        <w:t xml:space="preserve"> sõnastus</w:t>
      </w:r>
      <w:r w:rsidR="00A45F44">
        <w:rPr>
          <w:rFonts w:ascii="Times New Roman" w:hAnsi="Times New Roman"/>
          <w:lang w:val="et-EE"/>
        </w:rPr>
        <w:t xml:space="preserve">i. </w:t>
      </w:r>
      <w:r w:rsidR="00497E82" w:rsidRPr="00497E82">
        <w:rPr>
          <w:rFonts w:ascii="Times New Roman" w:hAnsi="Times New Roman"/>
          <w:u w:val="single"/>
          <w:lang w:val="et-EE"/>
        </w:rPr>
        <w:t>Lõike 2 punkti 2</w:t>
      </w:r>
      <w:r w:rsidR="00497E82">
        <w:rPr>
          <w:rFonts w:ascii="Times New Roman" w:hAnsi="Times New Roman"/>
          <w:lang w:val="et-EE"/>
        </w:rPr>
        <w:t xml:space="preserve"> kohaselt on pensionifondi vara lubatud investeerida väärismetallidesse. </w:t>
      </w:r>
      <w:r w:rsidR="00A45F44">
        <w:rPr>
          <w:rFonts w:ascii="Times New Roman" w:hAnsi="Times New Roman"/>
          <w:lang w:val="et-EE"/>
        </w:rPr>
        <w:t xml:space="preserve">Eelnõuga </w:t>
      </w:r>
      <w:r w:rsidR="00497E82">
        <w:rPr>
          <w:rFonts w:ascii="Times New Roman" w:hAnsi="Times New Roman"/>
          <w:lang w:val="et-EE"/>
        </w:rPr>
        <w:t xml:space="preserve">lisatakse siia </w:t>
      </w:r>
      <w:r w:rsidR="00A45F44">
        <w:rPr>
          <w:rFonts w:ascii="Times New Roman" w:hAnsi="Times New Roman"/>
          <w:lang w:val="et-EE"/>
        </w:rPr>
        <w:t xml:space="preserve">ka </w:t>
      </w:r>
      <w:r w:rsidR="00497E82">
        <w:rPr>
          <w:rFonts w:ascii="Times New Roman" w:hAnsi="Times New Roman"/>
          <w:lang w:val="et-EE"/>
        </w:rPr>
        <w:t>nii väärismetalle kui toormeid esindavad sertifikaadid.</w:t>
      </w:r>
      <w:r w:rsidR="00A45F44">
        <w:rPr>
          <w:rFonts w:ascii="Times New Roman" w:hAnsi="Times New Roman"/>
          <w:lang w:val="et-EE"/>
        </w:rPr>
        <w:t xml:space="preserve"> </w:t>
      </w:r>
      <w:r w:rsidR="009E080F" w:rsidRPr="00A45F44">
        <w:rPr>
          <w:rFonts w:ascii="Times New Roman" w:hAnsi="Times New Roman"/>
          <w:u w:val="single"/>
          <w:lang w:val="et-EE"/>
        </w:rPr>
        <w:t>Lõike 2 punkti</w:t>
      </w:r>
      <w:r w:rsidR="00A45F44">
        <w:rPr>
          <w:rFonts w:ascii="Times New Roman" w:hAnsi="Times New Roman"/>
          <w:u w:val="single"/>
          <w:lang w:val="et-EE"/>
        </w:rPr>
        <w:t>st</w:t>
      </w:r>
      <w:r w:rsidR="009E080F" w:rsidRPr="00A45F44">
        <w:rPr>
          <w:rFonts w:ascii="Times New Roman" w:hAnsi="Times New Roman"/>
          <w:u w:val="single"/>
          <w:lang w:val="et-EE"/>
        </w:rPr>
        <w:t xml:space="preserve"> 3</w:t>
      </w:r>
      <w:r w:rsidR="009E080F">
        <w:rPr>
          <w:rFonts w:ascii="Times New Roman" w:hAnsi="Times New Roman"/>
          <w:lang w:val="et-EE"/>
        </w:rPr>
        <w:t xml:space="preserve"> </w:t>
      </w:r>
      <w:r w:rsidR="00A45F44">
        <w:rPr>
          <w:rFonts w:ascii="Times New Roman" w:hAnsi="Times New Roman"/>
          <w:lang w:val="et-EE"/>
        </w:rPr>
        <w:t>jäetakse välja viide väärtpaberi hinna sõltuvusele väärismetallist või toormest, mida ei ole IFS § 123 muutmise tõttu vajalik enam eraldi välja tuua. Vt ka selgitusi IFS § 103 lõike 4 ja § 123 muutmise kohta).</w:t>
      </w:r>
    </w:p>
    <w:p w14:paraId="073D9921" w14:textId="77777777" w:rsidR="00A45F44" w:rsidRPr="00896B87" w:rsidRDefault="00A45F44" w:rsidP="00D32BED">
      <w:pPr>
        <w:jc w:val="both"/>
        <w:rPr>
          <w:rFonts w:ascii="Times New Roman" w:hAnsi="Times New Roman"/>
          <w:lang w:val="et-EE"/>
        </w:rPr>
      </w:pPr>
    </w:p>
    <w:p w14:paraId="14D454F0" w14:textId="17D93CC1" w:rsidR="00550701" w:rsidRDefault="00E259DC" w:rsidP="00D32BED">
      <w:pPr>
        <w:jc w:val="both"/>
        <w:rPr>
          <w:rFonts w:ascii="Times New Roman" w:hAnsi="Times New Roman"/>
          <w:lang w:val="et-EE"/>
        </w:rPr>
      </w:pPr>
      <w:r w:rsidRPr="00E259DC">
        <w:rPr>
          <w:rFonts w:ascii="Times New Roman" w:hAnsi="Times New Roman"/>
          <w:b/>
          <w:bCs/>
          <w:lang w:val="et-EE"/>
        </w:rPr>
        <w:t>IFS § 123.</w:t>
      </w:r>
      <w:r>
        <w:rPr>
          <w:rFonts w:ascii="Times New Roman" w:hAnsi="Times New Roman"/>
          <w:lang w:val="et-EE"/>
        </w:rPr>
        <w:t xml:space="preserve"> Paragrahv reguleerib pensionifondi vara investeerimist väärismetallidesse ja toormetesse. Eelnõuga antakse paragrahvi tekstile uus sõnastus. Muudatus on seotud IFS § 103 lõike 4 muutmisega. Loogika, et pensionifondid võivad teatud mahus investeerida </w:t>
      </w:r>
      <w:r w:rsidR="00A31F2F">
        <w:rPr>
          <w:rFonts w:ascii="Times New Roman" w:hAnsi="Times New Roman"/>
          <w:lang w:val="et-EE"/>
        </w:rPr>
        <w:t xml:space="preserve">varasse, mis IFS § 103 lõike 4 kohaselt on eurofondidele keelatud, jääb paika. Samuti jääb kehtima õigus investeerida pensionifondi vara teatud mahus väärtpaberitesse, mille alusvaraks on toore. Sõnastust täpsustatakse tulenevalt IFS § 103 lõike 4 muutmisest </w:t>
      </w:r>
      <w:r w:rsidR="00096AC6">
        <w:rPr>
          <w:rFonts w:ascii="Times New Roman" w:hAnsi="Times New Roman"/>
          <w:lang w:val="et-EE"/>
        </w:rPr>
        <w:t xml:space="preserve">ning </w:t>
      </w:r>
      <w:r w:rsidR="00A45F44">
        <w:rPr>
          <w:rFonts w:ascii="Times New Roman" w:hAnsi="Times New Roman"/>
          <w:lang w:val="et-EE"/>
        </w:rPr>
        <w:t>ühtlustatakse väärismetalle ja toormeid puudutav regulatsioon osas, mis käsitles varasemalt hinnast sõltuvust</w:t>
      </w:r>
      <w:r w:rsidR="00096AC6">
        <w:rPr>
          <w:rFonts w:ascii="Times New Roman" w:hAnsi="Times New Roman"/>
          <w:lang w:val="et-EE"/>
        </w:rPr>
        <w:t>, nüüd aga väärismetalle ja toormeid esindavaid sertifikaate.</w:t>
      </w:r>
      <w:r w:rsidR="00A31F2F">
        <w:rPr>
          <w:rFonts w:ascii="Times New Roman" w:hAnsi="Times New Roman"/>
          <w:lang w:val="et-EE"/>
        </w:rPr>
        <w:t xml:space="preserve"> </w:t>
      </w:r>
      <w:r w:rsidR="00096AC6">
        <w:rPr>
          <w:rFonts w:ascii="Times New Roman" w:hAnsi="Times New Roman"/>
          <w:lang w:val="et-EE"/>
        </w:rPr>
        <w:t xml:space="preserve">Eelnõuga </w:t>
      </w:r>
      <w:r w:rsidR="00A31F2F">
        <w:rPr>
          <w:rFonts w:ascii="Times New Roman" w:hAnsi="Times New Roman"/>
          <w:lang w:val="et-EE"/>
        </w:rPr>
        <w:t>sätestatakse, et p</w:t>
      </w:r>
      <w:r w:rsidRPr="00E259DC">
        <w:rPr>
          <w:rFonts w:ascii="Times New Roman" w:hAnsi="Times New Roman"/>
          <w:lang w:val="et-EE"/>
        </w:rPr>
        <w:t>ensionifondi vara võib väärismetallidesse,</w:t>
      </w:r>
      <w:r w:rsidR="00096AC6">
        <w:rPr>
          <w:rFonts w:ascii="Times New Roman" w:hAnsi="Times New Roman"/>
          <w:lang w:val="et-EE"/>
        </w:rPr>
        <w:t xml:space="preserve"> väärtpaberitesse, mille alusvaraks on toore ning</w:t>
      </w:r>
      <w:r w:rsidRPr="00E259DC">
        <w:rPr>
          <w:rFonts w:ascii="Times New Roman" w:hAnsi="Times New Roman"/>
          <w:lang w:val="et-EE"/>
        </w:rPr>
        <w:t xml:space="preserve"> </w:t>
      </w:r>
      <w:r w:rsidR="00A45F44" w:rsidRPr="00A45F44">
        <w:rPr>
          <w:rFonts w:ascii="Times New Roman" w:hAnsi="Times New Roman"/>
          <w:lang w:val="et-EE"/>
        </w:rPr>
        <w:t xml:space="preserve"> väärismetalle ja toormeid esindavatesse sertifikaatidesse </w:t>
      </w:r>
      <w:r w:rsidRPr="00E259DC">
        <w:rPr>
          <w:rFonts w:ascii="Times New Roman" w:hAnsi="Times New Roman"/>
          <w:lang w:val="et-EE"/>
        </w:rPr>
        <w:t>paigutada kokku kuni 25 protsendi ulatuses pensionifondi vara väärtusest.</w:t>
      </w:r>
      <w:r w:rsidR="00096AC6">
        <w:rPr>
          <w:rFonts w:ascii="Times New Roman" w:hAnsi="Times New Roman"/>
          <w:lang w:val="et-EE"/>
        </w:rPr>
        <w:t xml:space="preserve"> Sellistele investeeringutele kokku kehtivat piirmäära 25% pensionifondi vara väärtusest, eelnõu ei muuda.</w:t>
      </w:r>
    </w:p>
    <w:p w14:paraId="45689A58" w14:textId="77777777" w:rsidR="0099143B" w:rsidRDefault="0099143B" w:rsidP="00D32BED">
      <w:pPr>
        <w:rPr>
          <w:rFonts w:ascii="Times New Roman" w:hAnsi="Times New Roman"/>
          <w:color w:val="000000"/>
          <w:lang w:val="et-EE"/>
        </w:rPr>
      </w:pPr>
    </w:p>
    <w:p w14:paraId="22A9EA76" w14:textId="04085DD0" w:rsidR="00553DD6" w:rsidRDefault="00977C48" w:rsidP="00142C65">
      <w:pPr>
        <w:jc w:val="both"/>
        <w:rPr>
          <w:rFonts w:ascii="Times New Roman" w:hAnsi="Times New Roman"/>
          <w:color w:val="000000"/>
          <w:lang w:val="et-EE"/>
        </w:rPr>
      </w:pPr>
      <w:r w:rsidRPr="00977C48">
        <w:rPr>
          <w:rFonts w:ascii="Times New Roman" w:hAnsi="Times New Roman"/>
          <w:b/>
          <w:bCs/>
          <w:color w:val="000000"/>
          <w:lang w:val="et-EE"/>
        </w:rPr>
        <w:t>IFS § 128 lõige 4.</w:t>
      </w:r>
      <w:r>
        <w:rPr>
          <w:rFonts w:ascii="Times New Roman" w:hAnsi="Times New Roman"/>
          <w:color w:val="000000"/>
          <w:lang w:val="et-EE"/>
        </w:rPr>
        <w:t xml:space="preserve"> P</w:t>
      </w:r>
      <w:r w:rsidRPr="00977C48">
        <w:rPr>
          <w:rFonts w:ascii="Times New Roman" w:hAnsi="Times New Roman"/>
          <w:color w:val="000000"/>
          <w:lang w:val="et-EE"/>
        </w:rPr>
        <w:t>aragrahv</w:t>
      </w:r>
      <w:r>
        <w:rPr>
          <w:rFonts w:ascii="Times New Roman" w:hAnsi="Times New Roman"/>
          <w:color w:val="000000"/>
          <w:lang w:val="et-EE"/>
        </w:rPr>
        <w:t xml:space="preserve"> reguleerib pensionifondi vara investeerimist kinnisasjadesse. Lõikest 4 </w:t>
      </w:r>
      <w:r w:rsidRPr="00977C48">
        <w:rPr>
          <w:rFonts w:ascii="Times New Roman" w:hAnsi="Times New Roman"/>
          <w:color w:val="000000"/>
          <w:lang w:val="et-EE"/>
        </w:rPr>
        <w:t>jäetakse</w:t>
      </w:r>
      <w:r>
        <w:rPr>
          <w:rFonts w:ascii="Times New Roman" w:hAnsi="Times New Roman"/>
          <w:color w:val="000000"/>
          <w:lang w:val="et-EE"/>
        </w:rPr>
        <w:t xml:space="preserve"> eelnõuga</w:t>
      </w:r>
      <w:r w:rsidRPr="00977C48">
        <w:rPr>
          <w:rFonts w:ascii="Times New Roman" w:hAnsi="Times New Roman"/>
          <w:color w:val="000000"/>
          <w:lang w:val="et-EE"/>
        </w:rPr>
        <w:t xml:space="preserve"> välja </w:t>
      </w:r>
      <w:r>
        <w:rPr>
          <w:rFonts w:ascii="Times New Roman" w:hAnsi="Times New Roman"/>
          <w:color w:val="000000"/>
          <w:lang w:val="et-EE"/>
        </w:rPr>
        <w:t>viide i</w:t>
      </w:r>
      <w:r w:rsidRPr="00977C48">
        <w:rPr>
          <w:rFonts w:ascii="Times New Roman" w:hAnsi="Times New Roman"/>
          <w:color w:val="000000"/>
          <w:lang w:val="et-EE"/>
        </w:rPr>
        <w:t>nvesteeringutele, mis on tehtud väärtpaberitesse või muudesse instrumentidesse, mille hind või millest saadav tulu kaudselt</w:t>
      </w:r>
      <w:r>
        <w:rPr>
          <w:rFonts w:ascii="Times New Roman" w:hAnsi="Times New Roman"/>
          <w:color w:val="000000"/>
          <w:lang w:val="et-EE"/>
        </w:rPr>
        <w:t xml:space="preserve"> sõltub</w:t>
      </w:r>
      <w:r w:rsidRPr="00977C48">
        <w:rPr>
          <w:rFonts w:ascii="Times New Roman" w:hAnsi="Times New Roman"/>
          <w:color w:val="000000"/>
          <w:lang w:val="et-EE"/>
        </w:rPr>
        <w:t xml:space="preserve"> kinnisvara hinnast või selle muutusest. </w:t>
      </w:r>
      <w:r>
        <w:rPr>
          <w:rFonts w:ascii="Times New Roman" w:hAnsi="Times New Roman"/>
          <w:color w:val="000000"/>
          <w:lang w:val="et-EE"/>
        </w:rPr>
        <w:t>Sarnaselt väärismetallidele ja toormetele jäetakse eelnõuga ka kinnisvarainvesteeringute puhul seega välja viide kaudsele seosele, mis on praktikas põhjustanud probleeme normi tõlgendamisel. Nii on praktikas kujunenud olukord, kus sama piirangu alla (kohustuslike pensionifondide puhul 40% ja vabatahtlike pensionifondide puhul 70%)</w:t>
      </w:r>
      <w:r w:rsidR="00F85A3F">
        <w:rPr>
          <w:rFonts w:ascii="Times New Roman" w:hAnsi="Times New Roman"/>
          <w:color w:val="000000"/>
          <w:lang w:val="et-EE"/>
        </w:rPr>
        <w:t xml:space="preserve"> </w:t>
      </w:r>
      <w:r w:rsidRPr="00977C48">
        <w:rPr>
          <w:rFonts w:ascii="Times New Roman" w:hAnsi="Times New Roman"/>
          <w:color w:val="000000"/>
          <w:lang w:val="et-EE"/>
        </w:rPr>
        <w:t>arvatud näiteks pensionifondi arvel otse omandatud kinnisasja</w:t>
      </w:r>
      <w:r w:rsidR="00F85A3F">
        <w:rPr>
          <w:rFonts w:ascii="Times New Roman" w:hAnsi="Times New Roman"/>
          <w:color w:val="000000"/>
          <w:lang w:val="et-EE"/>
        </w:rPr>
        <w:t>d</w:t>
      </w:r>
      <w:r w:rsidRPr="00977C48">
        <w:rPr>
          <w:rFonts w:ascii="Times New Roman" w:hAnsi="Times New Roman"/>
          <w:color w:val="000000"/>
          <w:lang w:val="et-EE"/>
        </w:rPr>
        <w:t xml:space="preserve"> </w:t>
      </w:r>
      <w:r w:rsidR="00F85A3F">
        <w:rPr>
          <w:rFonts w:ascii="Times New Roman" w:hAnsi="Times New Roman"/>
          <w:color w:val="000000"/>
          <w:lang w:val="et-EE"/>
        </w:rPr>
        <w:t>ja</w:t>
      </w:r>
      <w:r w:rsidRPr="00977C48">
        <w:rPr>
          <w:rFonts w:ascii="Times New Roman" w:hAnsi="Times New Roman"/>
          <w:color w:val="000000"/>
          <w:lang w:val="et-EE"/>
        </w:rPr>
        <w:t xml:space="preserve"> kinnisvarasektoris tegutseva äriühingu emiteeritud võlakirjad, mille seos kinnisvara hindadega on – kui üldse – siis kaudne. </w:t>
      </w:r>
      <w:r w:rsidR="00F85A3F">
        <w:rPr>
          <w:rFonts w:ascii="Times New Roman" w:hAnsi="Times New Roman"/>
          <w:color w:val="000000"/>
          <w:lang w:val="et-EE"/>
        </w:rPr>
        <w:t>Et kaasused võivad olla väga erinevad, on konkreetseid suuniseid, millal tuleks mõju hinnata kaudseks, keeruline õigusaktis ette näha.</w:t>
      </w:r>
      <w:r w:rsidR="00553DD6">
        <w:rPr>
          <w:rFonts w:ascii="Times New Roman" w:hAnsi="Times New Roman"/>
          <w:color w:val="000000"/>
          <w:lang w:val="et-EE"/>
        </w:rPr>
        <w:t xml:space="preserve"> Nii on kehtestatud nõuet </w:t>
      </w:r>
      <w:r w:rsidR="00553DD6" w:rsidRPr="00553DD6">
        <w:rPr>
          <w:rFonts w:ascii="Times New Roman" w:hAnsi="Times New Roman"/>
          <w:color w:val="000000"/>
          <w:lang w:val="et-EE"/>
        </w:rPr>
        <w:t>praktikas keeruline ja koormav täita</w:t>
      </w:r>
      <w:r w:rsidR="00553DD6">
        <w:rPr>
          <w:rFonts w:ascii="Times New Roman" w:hAnsi="Times New Roman"/>
          <w:color w:val="000000"/>
          <w:lang w:val="et-EE"/>
        </w:rPr>
        <w:t xml:space="preserve"> ning investeeringute arvamine seaduses kehtestatud piirmäära alla on fondivalitseja </w:t>
      </w:r>
      <w:r w:rsidR="00553DD6" w:rsidRPr="00553DD6">
        <w:rPr>
          <w:rFonts w:ascii="Times New Roman" w:hAnsi="Times New Roman"/>
          <w:color w:val="000000"/>
          <w:lang w:val="et-EE"/>
        </w:rPr>
        <w:t>hinnangust sõltuv</w:t>
      </w:r>
      <w:r w:rsidR="00553DD6">
        <w:rPr>
          <w:rFonts w:ascii="Times New Roman" w:hAnsi="Times New Roman"/>
          <w:color w:val="000000"/>
          <w:lang w:val="et-EE"/>
        </w:rPr>
        <w:t>. See omakorda tekitab olukorra, kus turul puudub ühtne praktika. K</w:t>
      </w:r>
      <w:r w:rsidR="00553DD6" w:rsidRPr="00553DD6">
        <w:rPr>
          <w:rFonts w:ascii="Times New Roman" w:hAnsi="Times New Roman"/>
          <w:color w:val="000000"/>
          <w:lang w:val="et-EE"/>
        </w:rPr>
        <w:t>u</w:t>
      </w:r>
      <w:r w:rsidR="00553DD6">
        <w:rPr>
          <w:rFonts w:ascii="Times New Roman" w:hAnsi="Times New Roman"/>
          <w:color w:val="000000"/>
          <w:lang w:val="et-EE"/>
        </w:rPr>
        <w:t>ivõrd</w:t>
      </w:r>
      <w:r w:rsidR="00553DD6" w:rsidRPr="00553DD6">
        <w:rPr>
          <w:rFonts w:ascii="Times New Roman" w:hAnsi="Times New Roman"/>
          <w:color w:val="000000"/>
          <w:lang w:val="et-EE"/>
        </w:rPr>
        <w:t xml:space="preserve"> sõltuvus kinnisvara hinnast v</w:t>
      </w:r>
      <w:r w:rsidR="00553DD6">
        <w:rPr>
          <w:rFonts w:ascii="Times New Roman" w:hAnsi="Times New Roman"/>
          <w:color w:val="000000"/>
          <w:lang w:val="et-EE"/>
        </w:rPr>
        <w:t>õi</w:t>
      </w:r>
      <w:r w:rsidR="00553DD6" w:rsidRPr="00553DD6">
        <w:rPr>
          <w:rFonts w:ascii="Times New Roman" w:hAnsi="Times New Roman"/>
          <w:color w:val="000000"/>
          <w:lang w:val="et-EE"/>
        </w:rPr>
        <w:t xml:space="preserve"> selle muutusest tihti ongi </w:t>
      </w:r>
      <w:r w:rsidR="00553DD6">
        <w:rPr>
          <w:rFonts w:ascii="Times New Roman" w:hAnsi="Times New Roman"/>
          <w:color w:val="000000"/>
          <w:lang w:val="et-EE"/>
        </w:rPr>
        <w:t xml:space="preserve">sellisel juhul </w:t>
      </w:r>
      <w:r w:rsidR="00553DD6" w:rsidRPr="00553DD6">
        <w:rPr>
          <w:rFonts w:ascii="Times New Roman" w:hAnsi="Times New Roman"/>
          <w:color w:val="000000"/>
          <w:lang w:val="et-EE"/>
        </w:rPr>
        <w:t xml:space="preserve">väga </w:t>
      </w:r>
      <w:r w:rsidR="00553DD6" w:rsidRPr="00553DD6">
        <w:rPr>
          <w:rFonts w:ascii="Times New Roman" w:hAnsi="Times New Roman"/>
          <w:color w:val="000000"/>
          <w:lang w:val="et-EE"/>
        </w:rPr>
        <w:lastRenderedPageBreak/>
        <w:t xml:space="preserve">kaudne, ei ole sellise investeeringuga kaasnev võimalik risk </w:t>
      </w:r>
      <w:r w:rsidR="00553DD6">
        <w:rPr>
          <w:rFonts w:ascii="Times New Roman" w:hAnsi="Times New Roman"/>
          <w:color w:val="000000"/>
          <w:lang w:val="et-EE"/>
        </w:rPr>
        <w:t xml:space="preserve">kokkuvõttes </w:t>
      </w:r>
      <w:r w:rsidR="00553DD6" w:rsidRPr="00553DD6">
        <w:rPr>
          <w:rFonts w:ascii="Times New Roman" w:hAnsi="Times New Roman"/>
          <w:color w:val="000000"/>
          <w:lang w:val="et-EE"/>
        </w:rPr>
        <w:t xml:space="preserve">nii suur, et kaaluks üles </w:t>
      </w:r>
      <w:r w:rsidR="00553DD6">
        <w:rPr>
          <w:rFonts w:ascii="Times New Roman" w:hAnsi="Times New Roman"/>
          <w:color w:val="000000"/>
          <w:lang w:val="et-EE"/>
        </w:rPr>
        <w:t>täiendava</w:t>
      </w:r>
      <w:r w:rsidR="00553DD6" w:rsidRPr="00553DD6">
        <w:rPr>
          <w:rFonts w:ascii="Times New Roman" w:hAnsi="Times New Roman"/>
          <w:color w:val="000000"/>
          <w:lang w:val="et-EE"/>
        </w:rPr>
        <w:t xml:space="preserve"> koormuse</w:t>
      </w:r>
      <w:r w:rsidR="00191161">
        <w:rPr>
          <w:rFonts w:ascii="Times New Roman" w:hAnsi="Times New Roman"/>
          <w:color w:val="000000"/>
          <w:lang w:val="et-EE"/>
        </w:rPr>
        <w:t xml:space="preserve"> (</w:t>
      </w:r>
      <w:r w:rsidR="00191161" w:rsidRPr="00191161">
        <w:rPr>
          <w:rFonts w:ascii="Times New Roman" w:hAnsi="Times New Roman"/>
          <w:color w:val="000000"/>
          <w:lang w:val="et-EE"/>
        </w:rPr>
        <w:t>kaudse seose olemasolu kontrollimi</w:t>
      </w:r>
      <w:r w:rsidR="00191161">
        <w:rPr>
          <w:rFonts w:ascii="Times New Roman" w:hAnsi="Times New Roman"/>
          <w:color w:val="000000"/>
          <w:lang w:val="et-EE"/>
        </w:rPr>
        <w:t>ne</w:t>
      </w:r>
      <w:r w:rsidR="00191161" w:rsidRPr="00191161">
        <w:rPr>
          <w:rFonts w:ascii="Times New Roman" w:hAnsi="Times New Roman"/>
          <w:color w:val="000000"/>
          <w:lang w:val="et-EE"/>
        </w:rPr>
        <w:t xml:space="preserve"> erinevate emitentide ja instrumentide puhul tekita</w:t>
      </w:r>
      <w:r w:rsidR="00191161">
        <w:rPr>
          <w:rFonts w:ascii="Times New Roman" w:hAnsi="Times New Roman"/>
          <w:color w:val="000000"/>
          <w:lang w:val="et-EE"/>
        </w:rPr>
        <w:t>b</w:t>
      </w:r>
      <w:r w:rsidR="00191161" w:rsidRPr="00191161">
        <w:rPr>
          <w:rFonts w:ascii="Times New Roman" w:hAnsi="Times New Roman"/>
          <w:color w:val="000000"/>
          <w:lang w:val="et-EE"/>
        </w:rPr>
        <w:t xml:space="preserve"> täiendava</w:t>
      </w:r>
      <w:r w:rsidR="00191161">
        <w:rPr>
          <w:rFonts w:ascii="Times New Roman" w:hAnsi="Times New Roman"/>
          <w:color w:val="000000"/>
          <w:lang w:val="et-EE"/>
        </w:rPr>
        <w:t>t</w:t>
      </w:r>
      <w:r w:rsidR="00191161" w:rsidRPr="00191161">
        <w:rPr>
          <w:rFonts w:ascii="Times New Roman" w:hAnsi="Times New Roman"/>
          <w:color w:val="000000"/>
          <w:lang w:val="et-EE"/>
        </w:rPr>
        <w:t xml:space="preserve"> administratiivkoormus</w:t>
      </w:r>
      <w:r w:rsidR="00191161">
        <w:rPr>
          <w:rFonts w:ascii="Times New Roman" w:hAnsi="Times New Roman"/>
          <w:color w:val="000000"/>
          <w:lang w:val="et-EE"/>
        </w:rPr>
        <w:t>t</w:t>
      </w:r>
      <w:r w:rsidR="00191161" w:rsidRPr="00191161">
        <w:rPr>
          <w:rFonts w:ascii="Times New Roman" w:hAnsi="Times New Roman"/>
          <w:color w:val="000000"/>
          <w:lang w:val="et-EE"/>
        </w:rPr>
        <w:t xml:space="preserve"> ja kulu</w:t>
      </w:r>
      <w:r w:rsidR="00191161">
        <w:rPr>
          <w:rFonts w:ascii="Times New Roman" w:hAnsi="Times New Roman"/>
          <w:color w:val="000000"/>
          <w:lang w:val="et-EE"/>
        </w:rPr>
        <w:t>)</w:t>
      </w:r>
      <w:r w:rsidR="00553DD6">
        <w:rPr>
          <w:rFonts w:ascii="Times New Roman" w:hAnsi="Times New Roman"/>
          <w:color w:val="000000"/>
          <w:lang w:val="et-EE"/>
        </w:rPr>
        <w:t xml:space="preserve"> </w:t>
      </w:r>
      <w:r w:rsidR="00191161">
        <w:rPr>
          <w:rFonts w:ascii="Times New Roman" w:hAnsi="Times New Roman"/>
          <w:color w:val="000000"/>
          <w:lang w:val="et-EE"/>
        </w:rPr>
        <w:t>ning</w:t>
      </w:r>
      <w:r w:rsidR="00553DD6">
        <w:rPr>
          <w:rFonts w:ascii="Times New Roman" w:hAnsi="Times New Roman"/>
          <w:color w:val="000000"/>
          <w:lang w:val="et-EE"/>
        </w:rPr>
        <w:t xml:space="preserve"> ebaühtlase rakendamise</w:t>
      </w:r>
      <w:r w:rsidR="00553DD6" w:rsidRPr="00553DD6">
        <w:rPr>
          <w:rFonts w:ascii="Times New Roman" w:hAnsi="Times New Roman"/>
          <w:color w:val="000000"/>
          <w:lang w:val="et-EE"/>
        </w:rPr>
        <w:t>, mi</w:t>
      </w:r>
      <w:r w:rsidR="00553DD6">
        <w:rPr>
          <w:rFonts w:ascii="Times New Roman" w:hAnsi="Times New Roman"/>
          <w:color w:val="000000"/>
          <w:lang w:val="et-EE"/>
        </w:rPr>
        <w:t>lle selli</w:t>
      </w:r>
      <w:r w:rsidR="00191161">
        <w:rPr>
          <w:rFonts w:ascii="Times New Roman" w:hAnsi="Times New Roman"/>
          <w:color w:val="000000"/>
          <w:lang w:val="et-EE"/>
        </w:rPr>
        <w:t>se nõude kohaldamine</w:t>
      </w:r>
      <w:r w:rsidR="00553DD6">
        <w:rPr>
          <w:rFonts w:ascii="Times New Roman" w:hAnsi="Times New Roman"/>
          <w:color w:val="000000"/>
          <w:lang w:val="et-EE"/>
        </w:rPr>
        <w:t xml:space="preserve"> tingib.</w:t>
      </w:r>
    </w:p>
    <w:p w14:paraId="68F94DA7" w14:textId="77777777" w:rsidR="00F85A3F" w:rsidRDefault="00F85A3F" w:rsidP="00D32BED">
      <w:pPr>
        <w:rPr>
          <w:rFonts w:ascii="Times New Roman" w:hAnsi="Times New Roman"/>
          <w:color w:val="000000"/>
          <w:lang w:val="et-EE"/>
        </w:rPr>
      </w:pPr>
    </w:p>
    <w:p w14:paraId="2990C02D" w14:textId="2559BC82" w:rsidR="009F52E2" w:rsidRPr="00DD114F" w:rsidRDefault="009F52E2" w:rsidP="00D32BED">
      <w:pPr>
        <w:shd w:val="clear" w:color="auto" w:fill="FFFFFF"/>
        <w:jc w:val="both"/>
        <w:rPr>
          <w:rFonts w:ascii="Times New Roman" w:hAnsi="Times New Roman"/>
          <w:u w:color="0000FF"/>
          <w:lang w:val="et-EE"/>
        </w:rPr>
      </w:pPr>
      <w:r w:rsidRPr="009F52E2">
        <w:rPr>
          <w:rFonts w:ascii="Times New Roman" w:hAnsi="Times New Roman"/>
          <w:b/>
          <w:bCs/>
          <w:color w:val="000000"/>
          <w:lang w:val="et-EE"/>
        </w:rPr>
        <w:t>IFS § 270</w:t>
      </w:r>
      <w:r w:rsidRPr="009F52E2">
        <w:rPr>
          <w:rFonts w:ascii="Times New Roman" w:hAnsi="Times New Roman"/>
          <w:b/>
          <w:bCs/>
          <w:color w:val="000000"/>
          <w:vertAlign w:val="superscript"/>
          <w:lang w:val="et-EE"/>
        </w:rPr>
        <w:t>1</w:t>
      </w:r>
      <w:r w:rsidRPr="009F52E2">
        <w:rPr>
          <w:rFonts w:ascii="Times New Roman" w:hAnsi="Times New Roman"/>
          <w:b/>
          <w:bCs/>
          <w:color w:val="000000"/>
          <w:lang w:val="et-EE"/>
        </w:rPr>
        <w:t xml:space="preserve"> lõike 1 punktid 3 ja 4</w:t>
      </w:r>
      <w:r w:rsidR="00DD114F">
        <w:rPr>
          <w:rFonts w:ascii="Times New Roman" w:hAnsi="Times New Roman"/>
          <w:b/>
          <w:bCs/>
          <w:color w:val="000000"/>
          <w:lang w:val="et-EE"/>
        </w:rPr>
        <w:t xml:space="preserve"> ning lõige 3</w:t>
      </w:r>
      <w:r w:rsidRPr="009F52E2">
        <w:rPr>
          <w:rFonts w:ascii="Times New Roman" w:hAnsi="Times New Roman"/>
          <w:b/>
          <w:bCs/>
          <w:color w:val="000000"/>
          <w:lang w:val="et-EE"/>
        </w:rPr>
        <w:t xml:space="preserve">. </w:t>
      </w:r>
      <w:r w:rsidR="00BE73FA">
        <w:rPr>
          <w:rFonts w:ascii="Times New Roman" w:hAnsi="Times New Roman"/>
          <w:u w:color="0000FF"/>
          <w:lang w:val="et-EE"/>
        </w:rPr>
        <w:t xml:space="preserve">Paragrahvis on sätestatud täiendavad nõuded mitteavaliku fondi </w:t>
      </w:r>
      <w:r w:rsidR="00BE73FA" w:rsidRPr="009F52E2">
        <w:rPr>
          <w:rFonts w:ascii="Times New Roman" w:hAnsi="Times New Roman"/>
          <w:u w:color="0000FF"/>
          <w:lang w:val="et-EE"/>
        </w:rPr>
        <w:t>valitsejal</w:t>
      </w:r>
      <w:r w:rsidR="00BE73FA">
        <w:rPr>
          <w:rFonts w:ascii="Times New Roman" w:hAnsi="Times New Roman"/>
          <w:u w:color="0000FF"/>
          <w:lang w:val="et-EE"/>
        </w:rPr>
        <w:t>e, kui pakutakse</w:t>
      </w:r>
      <w:r w:rsidR="00BE73FA" w:rsidRPr="009F52E2">
        <w:rPr>
          <w:rFonts w:ascii="Times New Roman" w:hAnsi="Times New Roman"/>
          <w:u w:color="0000FF"/>
          <w:lang w:val="et-EE"/>
        </w:rPr>
        <w:t xml:space="preserve"> </w:t>
      </w:r>
      <w:r w:rsidR="00BE73FA">
        <w:rPr>
          <w:rFonts w:ascii="Times New Roman" w:hAnsi="Times New Roman"/>
          <w:u w:color="0000FF"/>
          <w:lang w:val="et-EE"/>
        </w:rPr>
        <w:t xml:space="preserve">mitteavalikku </w:t>
      </w:r>
      <w:r w:rsidR="00BE73FA" w:rsidRPr="009F52E2">
        <w:rPr>
          <w:rFonts w:ascii="Times New Roman" w:hAnsi="Times New Roman"/>
          <w:u w:color="0000FF"/>
          <w:lang w:val="et-EE"/>
        </w:rPr>
        <w:t xml:space="preserve">alternatiivfondi </w:t>
      </w:r>
      <w:r w:rsidR="00BE73FA">
        <w:rPr>
          <w:rFonts w:ascii="Times New Roman" w:hAnsi="Times New Roman"/>
          <w:u w:color="0000FF"/>
          <w:lang w:val="et-EE"/>
        </w:rPr>
        <w:t>isikule</w:t>
      </w:r>
      <w:r w:rsidR="00BE73FA" w:rsidRPr="009F52E2">
        <w:rPr>
          <w:rFonts w:ascii="Times New Roman" w:hAnsi="Times New Roman"/>
          <w:u w:color="0000FF"/>
          <w:lang w:val="et-EE"/>
        </w:rPr>
        <w:t>, kes ei ole kutseline investor</w:t>
      </w:r>
      <w:r w:rsidR="00BE73FA">
        <w:rPr>
          <w:rFonts w:ascii="Times New Roman" w:hAnsi="Times New Roman"/>
          <w:u w:color="0000FF"/>
          <w:lang w:val="et-EE"/>
        </w:rPr>
        <w:t>. Lõike 1 punktides 3 ja 4 ning lõikes 3 tehakse sõnastuslikud täpsustused direktiivi 2019/1160 ülevõtmissätetes</w:t>
      </w:r>
      <w:r w:rsidR="00117DED">
        <w:rPr>
          <w:rFonts w:ascii="Times New Roman" w:hAnsi="Times New Roman"/>
          <w:u w:color="0000FF"/>
          <w:lang w:val="et-EE"/>
        </w:rPr>
        <w:t xml:space="preserve"> (muutmissäte ise asub IFS § 91¹ lõike 1 punktide 3 ja 4 muutmise juures)</w:t>
      </w:r>
      <w:r w:rsidR="00BE73FA">
        <w:rPr>
          <w:rFonts w:ascii="Times New Roman" w:hAnsi="Times New Roman"/>
          <w:u w:color="0000FF"/>
          <w:lang w:val="et-EE"/>
        </w:rPr>
        <w:t xml:space="preserve">. </w:t>
      </w:r>
    </w:p>
    <w:p w14:paraId="1333BE58" w14:textId="77777777" w:rsidR="00BE73FA" w:rsidRDefault="00BE73FA" w:rsidP="00D32BED">
      <w:pPr>
        <w:rPr>
          <w:rFonts w:ascii="Times New Roman" w:hAnsi="Times New Roman"/>
          <w:color w:val="000000"/>
          <w:lang w:val="et-EE"/>
        </w:rPr>
      </w:pPr>
    </w:p>
    <w:p w14:paraId="41F21BC3" w14:textId="12A1759C" w:rsidR="00BE73FA" w:rsidRDefault="00BE73FA" w:rsidP="00D32BED">
      <w:pPr>
        <w:shd w:val="clear" w:color="auto" w:fill="FFFFFF"/>
        <w:jc w:val="both"/>
        <w:rPr>
          <w:rFonts w:ascii="Times New Roman" w:hAnsi="Times New Roman"/>
          <w:u w:color="0000FF"/>
          <w:lang w:val="et-EE"/>
        </w:rPr>
      </w:pPr>
      <w:r w:rsidRPr="00BE73FA">
        <w:rPr>
          <w:rFonts w:ascii="Times New Roman" w:hAnsi="Times New Roman"/>
          <w:u w:val="single"/>
          <w:lang w:val="et-EE"/>
        </w:rPr>
        <w:t>Lõike 1 punkti 3</w:t>
      </w:r>
      <w:r>
        <w:rPr>
          <w:rFonts w:ascii="Times New Roman" w:hAnsi="Times New Roman"/>
          <w:u w:color="0000FF"/>
          <w:lang w:val="et-EE"/>
        </w:rPr>
        <w:t xml:space="preserve"> m</w:t>
      </w:r>
      <w:r w:rsidRPr="009F52E2">
        <w:rPr>
          <w:rFonts w:ascii="Times New Roman" w:hAnsi="Times New Roman"/>
          <w:u w:color="0000FF"/>
          <w:lang w:val="et-EE"/>
        </w:rPr>
        <w:t>uudatuse aluseks on direktiivi 2019/1160 artikl</w:t>
      </w:r>
      <w:r w:rsidR="00117DED">
        <w:rPr>
          <w:rFonts w:ascii="Times New Roman" w:hAnsi="Times New Roman"/>
          <w:u w:color="0000FF"/>
          <w:lang w:val="et-EE"/>
        </w:rPr>
        <w:t>i</w:t>
      </w:r>
      <w:r w:rsidRPr="009F52E2">
        <w:rPr>
          <w:rFonts w:ascii="Times New Roman" w:hAnsi="Times New Roman"/>
          <w:u w:color="0000FF"/>
          <w:lang w:val="et-EE"/>
        </w:rPr>
        <w:t xml:space="preserve"> 2</w:t>
      </w:r>
      <w:r w:rsidR="00117DED">
        <w:rPr>
          <w:rFonts w:ascii="Times New Roman" w:hAnsi="Times New Roman"/>
          <w:u w:color="0000FF"/>
          <w:lang w:val="et-EE"/>
        </w:rPr>
        <w:t xml:space="preserve"> lõige </w:t>
      </w:r>
      <w:r w:rsidRPr="009F52E2">
        <w:rPr>
          <w:rFonts w:ascii="Times New Roman" w:hAnsi="Times New Roman"/>
          <w:u w:color="0000FF"/>
          <w:lang w:val="et-EE"/>
        </w:rPr>
        <w:t xml:space="preserve">6. IFS-i </w:t>
      </w:r>
      <w:r>
        <w:rPr>
          <w:rFonts w:ascii="Times New Roman" w:hAnsi="Times New Roman"/>
          <w:u w:color="0000FF"/>
          <w:lang w:val="et-EE"/>
        </w:rPr>
        <w:t>lisatakse s</w:t>
      </w:r>
      <w:r w:rsidRPr="009F52E2">
        <w:rPr>
          <w:rFonts w:ascii="Times New Roman" w:hAnsi="Times New Roman"/>
          <w:u w:color="0000FF"/>
          <w:lang w:val="et-EE"/>
        </w:rPr>
        <w:t>elge nõue, et kui alternatiivfondi pakutakse isikul</w:t>
      </w:r>
      <w:r>
        <w:rPr>
          <w:rFonts w:ascii="Times New Roman" w:hAnsi="Times New Roman"/>
          <w:u w:color="0000FF"/>
          <w:lang w:val="et-EE"/>
        </w:rPr>
        <w:t>e</w:t>
      </w:r>
      <w:r w:rsidRPr="009F52E2">
        <w:rPr>
          <w:rFonts w:ascii="Times New Roman" w:hAnsi="Times New Roman"/>
          <w:u w:color="0000FF"/>
          <w:lang w:val="et-EE"/>
        </w:rPr>
        <w:t>, kes ei ole kutseline investor, siis kohustub fondivalitseja andma isikule muuhulgas infot ka selle kohta, millise</w:t>
      </w:r>
      <w:r>
        <w:rPr>
          <w:rFonts w:ascii="Times New Roman" w:hAnsi="Times New Roman"/>
          <w:u w:color="0000FF"/>
          <w:lang w:val="et-EE"/>
        </w:rPr>
        <w:t>d</w:t>
      </w:r>
      <w:r w:rsidRPr="009F52E2">
        <w:rPr>
          <w:rFonts w:ascii="Times New Roman" w:hAnsi="Times New Roman"/>
          <w:u w:color="0000FF"/>
          <w:lang w:val="et-EE"/>
        </w:rPr>
        <w:t xml:space="preserve"> õigused isikul siseriiklikest seadustest tulenevalt investorina on.</w:t>
      </w:r>
    </w:p>
    <w:p w14:paraId="001FE02F" w14:textId="77777777" w:rsidR="00BE73FA" w:rsidRDefault="00BE73FA" w:rsidP="00D32BED">
      <w:pPr>
        <w:shd w:val="clear" w:color="auto" w:fill="FFFFFF"/>
        <w:jc w:val="both"/>
        <w:rPr>
          <w:rFonts w:ascii="Times New Roman" w:hAnsi="Times New Roman"/>
          <w:u w:color="0000FF"/>
          <w:lang w:val="et-EE"/>
        </w:rPr>
      </w:pPr>
    </w:p>
    <w:p w14:paraId="61E82478" w14:textId="624A531B" w:rsidR="00BE73FA" w:rsidRPr="009F52E2" w:rsidRDefault="00BE73FA" w:rsidP="00D32BED">
      <w:pPr>
        <w:shd w:val="clear" w:color="auto" w:fill="FFFFFF"/>
        <w:jc w:val="both"/>
        <w:rPr>
          <w:rFonts w:ascii="Times New Roman" w:hAnsi="Times New Roman"/>
          <w:u w:color="0000FF"/>
          <w:lang w:val="et-EE"/>
        </w:rPr>
      </w:pPr>
      <w:r w:rsidRPr="00BE73FA">
        <w:rPr>
          <w:rFonts w:ascii="Times New Roman" w:hAnsi="Times New Roman"/>
          <w:u w:val="single"/>
          <w:lang w:val="et-EE"/>
        </w:rPr>
        <w:t>Lõike 1 punkti 4</w:t>
      </w:r>
      <w:r>
        <w:rPr>
          <w:rFonts w:ascii="Times New Roman" w:hAnsi="Times New Roman"/>
          <w:u w:color="0000FF"/>
          <w:lang w:val="et-EE"/>
        </w:rPr>
        <w:t xml:space="preserve"> m</w:t>
      </w:r>
      <w:r w:rsidRPr="009F52E2">
        <w:rPr>
          <w:rFonts w:ascii="Times New Roman" w:hAnsi="Times New Roman"/>
          <w:u w:color="0000FF"/>
          <w:lang w:val="et-EE"/>
        </w:rPr>
        <w:t xml:space="preserve">uudatuse aluseks on </w:t>
      </w:r>
      <w:r>
        <w:rPr>
          <w:rFonts w:ascii="Times New Roman" w:hAnsi="Times New Roman"/>
          <w:u w:color="0000FF"/>
          <w:lang w:val="et-EE"/>
        </w:rPr>
        <w:t xml:space="preserve">samuti </w:t>
      </w:r>
      <w:r w:rsidRPr="009F52E2">
        <w:rPr>
          <w:rFonts w:ascii="Times New Roman" w:hAnsi="Times New Roman"/>
          <w:u w:color="0000FF"/>
          <w:lang w:val="et-EE"/>
        </w:rPr>
        <w:t>direktiivi 2019/1160 artik</w:t>
      </w:r>
      <w:r w:rsidR="00117DED">
        <w:rPr>
          <w:rFonts w:ascii="Times New Roman" w:hAnsi="Times New Roman"/>
          <w:u w:color="0000FF"/>
          <w:lang w:val="et-EE"/>
        </w:rPr>
        <w:t>li</w:t>
      </w:r>
      <w:r w:rsidRPr="009F52E2">
        <w:rPr>
          <w:rFonts w:ascii="Times New Roman" w:hAnsi="Times New Roman"/>
          <w:u w:color="0000FF"/>
          <w:lang w:val="et-EE"/>
        </w:rPr>
        <w:t xml:space="preserve"> 2</w:t>
      </w:r>
      <w:r w:rsidR="00117DED">
        <w:rPr>
          <w:rFonts w:ascii="Times New Roman" w:hAnsi="Times New Roman"/>
          <w:u w:color="0000FF"/>
          <w:lang w:val="et-EE"/>
        </w:rPr>
        <w:t xml:space="preserve"> lõige </w:t>
      </w:r>
      <w:r w:rsidRPr="009F52E2">
        <w:rPr>
          <w:rFonts w:ascii="Times New Roman" w:hAnsi="Times New Roman"/>
          <w:u w:color="0000FF"/>
          <w:lang w:val="et-EE"/>
        </w:rPr>
        <w:t xml:space="preserve">6. </w:t>
      </w:r>
      <w:r>
        <w:rPr>
          <w:rFonts w:ascii="Times New Roman" w:hAnsi="Times New Roman"/>
          <w:u w:color="0000FF"/>
          <w:lang w:val="et-EE"/>
        </w:rPr>
        <w:t>L</w:t>
      </w:r>
      <w:r w:rsidRPr="009F52E2">
        <w:rPr>
          <w:rFonts w:ascii="Times New Roman" w:hAnsi="Times New Roman"/>
          <w:u w:color="0000FF"/>
          <w:lang w:val="et-EE"/>
        </w:rPr>
        <w:t>isatakse täiendus, et investoritele kättesaadavaks tehtav teave peab olema esitatud sellisel kujul, et investoril oleks soovi korral võimalik sellest teabest ka koopiaid teha.</w:t>
      </w:r>
    </w:p>
    <w:p w14:paraId="21CBEEAE" w14:textId="77777777" w:rsidR="00BE73FA" w:rsidRDefault="00BE73FA" w:rsidP="00D32BED">
      <w:pPr>
        <w:shd w:val="clear" w:color="auto" w:fill="FFFFFF"/>
        <w:jc w:val="both"/>
        <w:rPr>
          <w:rFonts w:ascii="Times New Roman" w:hAnsi="Times New Roman"/>
          <w:u w:color="0000FF"/>
          <w:lang w:val="et-EE"/>
        </w:rPr>
      </w:pPr>
    </w:p>
    <w:p w14:paraId="27905E55" w14:textId="5E7299D5" w:rsidR="00BE73FA" w:rsidRPr="00BE73FA" w:rsidRDefault="00BE73FA" w:rsidP="00D32BED">
      <w:pPr>
        <w:shd w:val="clear" w:color="auto" w:fill="FFFFFF"/>
        <w:jc w:val="both"/>
        <w:rPr>
          <w:rFonts w:ascii="Times New Roman" w:hAnsi="Times New Roman"/>
          <w:u w:color="0000FF"/>
          <w:lang w:val="et-EE"/>
        </w:rPr>
      </w:pPr>
      <w:r w:rsidRPr="00BE73FA">
        <w:rPr>
          <w:rFonts w:ascii="Times New Roman" w:hAnsi="Times New Roman"/>
          <w:u w:val="single"/>
          <w:lang w:val="et-EE"/>
        </w:rPr>
        <w:t>Lõike 3</w:t>
      </w:r>
      <w:r>
        <w:rPr>
          <w:rFonts w:ascii="Times New Roman" w:hAnsi="Times New Roman"/>
          <w:u w:color="0000FF"/>
          <w:lang w:val="et-EE"/>
        </w:rPr>
        <w:t xml:space="preserve"> esimesele lausele antakse eelnõuga uus sõnastus ja lõikesse lisatakse uus teine lause. Kolmas lause jääb uues sõnastuses lõikesse 3 muutmata kujul. </w:t>
      </w:r>
      <w:r w:rsidRPr="00BE73FA">
        <w:rPr>
          <w:rFonts w:ascii="Times New Roman" w:hAnsi="Times New Roman"/>
          <w:u w:color="0000FF"/>
          <w:lang w:val="et-EE"/>
        </w:rPr>
        <w:t>Muudatuse aluseks on direktiivi 2019/1160</w:t>
      </w:r>
      <w:r>
        <w:rPr>
          <w:rFonts w:ascii="Times New Roman" w:hAnsi="Times New Roman"/>
          <w:u w:color="0000FF"/>
          <w:lang w:val="et-EE"/>
        </w:rPr>
        <w:t xml:space="preserve"> </w:t>
      </w:r>
      <w:r w:rsidRPr="00BE73FA">
        <w:rPr>
          <w:rFonts w:ascii="Times New Roman" w:hAnsi="Times New Roman"/>
          <w:u w:color="0000FF"/>
          <w:lang w:val="et-EE"/>
        </w:rPr>
        <w:t>artikl</w:t>
      </w:r>
      <w:r>
        <w:rPr>
          <w:rFonts w:ascii="Times New Roman" w:hAnsi="Times New Roman"/>
          <w:u w:color="0000FF"/>
          <w:lang w:val="et-EE"/>
        </w:rPr>
        <w:t>i</w:t>
      </w:r>
      <w:r w:rsidRPr="00BE73FA">
        <w:rPr>
          <w:rFonts w:ascii="Times New Roman" w:hAnsi="Times New Roman"/>
          <w:u w:color="0000FF"/>
          <w:lang w:val="et-EE"/>
        </w:rPr>
        <w:t xml:space="preserve"> 1</w:t>
      </w:r>
      <w:r w:rsidR="00117DED">
        <w:rPr>
          <w:rFonts w:ascii="Times New Roman" w:hAnsi="Times New Roman"/>
          <w:u w:color="0000FF"/>
          <w:lang w:val="et-EE"/>
        </w:rPr>
        <w:t xml:space="preserve"> lõige </w:t>
      </w:r>
      <w:r w:rsidRPr="00BE73FA">
        <w:rPr>
          <w:rFonts w:ascii="Times New Roman" w:hAnsi="Times New Roman"/>
          <w:u w:color="0000FF"/>
          <w:lang w:val="et-EE"/>
        </w:rPr>
        <w:t xml:space="preserve">4 ja </w:t>
      </w:r>
      <w:r w:rsidR="00117DED">
        <w:rPr>
          <w:rFonts w:ascii="Times New Roman" w:hAnsi="Times New Roman"/>
          <w:u w:color="0000FF"/>
          <w:lang w:val="et-EE"/>
        </w:rPr>
        <w:t xml:space="preserve">artikli </w:t>
      </w:r>
      <w:r w:rsidRPr="00BE73FA">
        <w:rPr>
          <w:rFonts w:ascii="Times New Roman" w:hAnsi="Times New Roman"/>
          <w:u w:color="0000FF"/>
          <w:lang w:val="et-EE"/>
        </w:rPr>
        <w:t>2</w:t>
      </w:r>
      <w:r w:rsidR="00117DED">
        <w:rPr>
          <w:rFonts w:ascii="Times New Roman" w:hAnsi="Times New Roman"/>
          <w:u w:color="0000FF"/>
          <w:lang w:val="et-EE"/>
        </w:rPr>
        <w:t xml:space="preserve"> lõige </w:t>
      </w:r>
      <w:r w:rsidRPr="00BE73FA">
        <w:rPr>
          <w:rFonts w:ascii="Times New Roman" w:hAnsi="Times New Roman"/>
          <w:u w:color="0000FF"/>
          <w:lang w:val="et-EE"/>
        </w:rPr>
        <w:t xml:space="preserve">6. IFS-i lisatakse selge viide, et fondile </w:t>
      </w:r>
      <w:r>
        <w:rPr>
          <w:rFonts w:ascii="Times New Roman" w:hAnsi="Times New Roman"/>
          <w:u w:color="0000FF"/>
          <w:lang w:val="et-EE"/>
        </w:rPr>
        <w:t>sama paragrahvi</w:t>
      </w:r>
      <w:r w:rsidRPr="00BE73FA">
        <w:rPr>
          <w:rFonts w:ascii="Times New Roman" w:hAnsi="Times New Roman"/>
          <w:u w:color="0000FF"/>
          <w:lang w:val="et-EE"/>
        </w:rPr>
        <w:t xml:space="preserve"> l</w:t>
      </w:r>
      <w:r>
        <w:rPr>
          <w:rFonts w:ascii="Times New Roman" w:hAnsi="Times New Roman"/>
          <w:u w:color="0000FF"/>
          <w:lang w:val="et-EE"/>
        </w:rPr>
        <w:t>õikes</w:t>
      </w:r>
      <w:r w:rsidRPr="00BE73FA">
        <w:rPr>
          <w:rFonts w:ascii="Times New Roman" w:hAnsi="Times New Roman"/>
          <w:u w:color="0000FF"/>
          <w:lang w:val="et-EE"/>
        </w:rPr>
        <w:t xml:space="preserve"> 1 </w:t>
      </w:r>
      <w:r>
        <w:rPr>
          <w:rFonts w:ascii="Times New Roman" w:hAnsi="Times New Roman"/>
          <w:u w:color="0000FF"/>
          <w:lang w:val="et-EE"/>
        </w:rPr>
        <w:t>pandu</w:t>
      </w:r>
      <w:r w:rsidRPr="00BE73FA">
        <w:rPr>
          <w:rFonts w:ascii="Times New Roman" w:hAnsi="Times New Roman"/>
          <w:u w:color="0000FF"/>
          <w:lang w:val="et-EE"/>
        </w:rPr>
        <w:t>d kohustusi võib täita kas fondivalitseja, tema määratud kolmas isik või mõlemad, jagades kohustuste täitmist omavahel.</w:t>
      </w:r>
    </w:p>
    <w:p w14:paraId="7EAFA711" w14:textId="77777777" w:rsidR="009F52E2" w:rsidRDefault="009F52E2" w:rsidP="00D32BED">
      <w:pPr>
        <w:rPr>
          <w:rFonts w:ascii="Times New Roman" w:hAnsi="Times New Roman"/>
          <w:color w:val="000000"/>
          <w:lang w:val="et-EE"/>
        </w:rPr>
      </w:pPr>
    </w:p>
    <w:p w14:paraId="2A01461C" w14:textId="5C976C5D" w:rsidR="00BE0C9C" w:rsidRDefault="00F85A3F" w:rsidP="00DD690A">
      <w:pPr>
        <w:jc w:val="both"/>
        <w:rPr>
          <w:rFonts w:ascii="Times New Roman" w:hAnsi="Times New Roman"/>
          <w:color w:val="000000"/>
          <w:lang w:val="et-EE"/>
        </w:rPr>
      </w:pPr>
      <w:r w:rsidRPr="00F85A3F">
        <w:rPr>
          <w:rFonts w:ascii="Times New Roman" w:hAnsi="Times New Roman"/>
          <w:b/>
          <w:bCs/>
          <w:color w:val="000000"/>
          <w:lang w:val="et-EE"/>
        </w:rPr>
        <w:t>IFS § 349 lõige 2.</w:t>
      </w:r>
      <w:r>
        <w:rPr>
          <w:rFonts w:ascii="Times New Roman" w:hAnsi="Times New Roman"/>
          <w:color w:val="000000"/>
          <w:lang w:val="et-EE"/>
        </w:rPr>
        <w:t xml:space="preserve"> </w:t>
      </w:r>
      <w:r w:rsidRPr="00F85A3F">
        <w:rPr>
          <w:rFonts w:ascii="Times New Roman" w:hAnsi="Times New Roman"/>
          <w:color w:val="000000"/>
          <w:lang w:val="et-EE"/>
        </w:rPr>
        <w:t xml:space="preserve"> </w:t>
      </w:r>
      <w:r w:rsidR="00DD690A">
        <w:rPr>
          <w:rFonts w:ascii="Times New Roman" w:hAnsi="Times New Roman"/>
          <w:color w:val="000000"/>
          <w:lang w:val="et-EE"/>
        </w:rPr>
        <w:t>Paragrahv reguleerib fondivalitseja siseauditi funktsiooni. Lõike 2 kohaselt nimetab f</w:t>
      </w:r>
      <w:r w:rsidR="00DD690A" w:rsidRPr="00DD690A">
        <w:rPr>
          <w:rFonts w:ascii="Times New Roman" w:hAnsi="Times New Roman"/>
          <w:color w:val="000000"/>
          <w:lang w:val="et-EE"/>
        </w:rPr>
        <w:t xml:space="preserve">ondivalitseja nõukogu siseauditi teostamise eest vastutavaks isikuks siseaudiitori, kellega sõlmitakse leping kirjalikus vormis. </w:t>
      </w:r>
      <w:r w:rsidR="00DD690A">
        <w:rPr>
          <w:rFonts w:ascii="Times New Roman" w:hAnsi="Times New Roman"/>
          <w:color w:val="000000"/>
          <w:lang w:val="et-EE"/>
        </w:rPr>
        <w:t>Samuti sätestab lõige 2, et s</w:t>
      </w:r>
      <w:r w:rsidR="00DD690A" w:rsidRPr="00DD690A">
        <w:rPr>
          <w:rFonts w:ascii="Times New Roman" w:hAnsi="Times New Roman"/>
          <w:color w:val="000000"/>
          <w:lang w:val="et-EE"/>
        </w:rPr>
        <w:t>iseaudiitor ei või täita muid ülesandeid, mis põhjustavad või võivad põhjustada huvide konflikti.</w:t>
      </w:r>
      <w:r w:rsidR="00DD690A">
        <w:rPr>
          <w:rFonts w:ascii="Times New Roman" w:hAnsi="Times New Roman"/>
          <w:color w:val="000000"/>
          <w:lang w:val="et-EE"/>
        </w:rPr>
        <w:t xml:space="preserve"> Kui v</w:t>
      </w:r>
      <w:r w:rsidR="00DD690A" w:rsidRPr="00DD690A">
        <w:rPr>
          <w:rFonts w:ascii="Times New Roman" w:hAnsi="Times New Roman"/>
          <w:color w:val="000000"/>
          <w:lang w:val="et-EE"/>
        </w:rPr>
        <w:t>aldavalt on finantssektori seadustes konkreetselt sätestatud atesteeritud siseaudiitori nõue („</w:t>
      </w:r>
      <w:r w:rsidR="00DD690A">
        <w:rPr>
          <w:rFonts w:ascii="Times New Roman" w:hAnsi="Times New Roman"/>
          <w:color w:val="000000"/>
          <w:lang w:val="et-EE"/>
        </w:rPr>
        <w:t>s</w:t>
      </w:r>
      <w:r w:rsidR="00DD690A" w:rsidRPr="00DD690A">
        <w:rPr>
          <w:rFonts w:ascii="Times New Roman" w:hAnsi="Times New Roman"/>
          <w:color w:val="000000"/>
          <w:lang w:val="et-EE"/>
        </w:rPr>
        <w:t>iseauditi üksuse ülesannete täitjale kohaldatakse audiitortegevuse seaduses</w:t>
      </w:r>
      <w:r w:rsidR="00DD690A">
        <w:rPr>
          <w:rFonts w:ascii="Times New Roman" w:hAnsi="Times New Roman"/>
          <w:color w:val="000000"/>
          <w:lang w:val="et-EE"/>
        </w:rPr>
        <w:t xml:space="preserve"> (AudS)</w:t>
      </w:r>
      <w:r w:rsidR="00DD690A" w:rsidRPr="00DD690A">
        <w:rPr>
          <w:rFonts w:ascii="Times New Roman" w:hAnsi="Times New Roman"/>
          <w:color w:val="000000"/>
          <w:lang w:val="et-EE"/>
        </w:rPr>
        <w:t xml:space="preserve"> atesteeritud siseaudiitorile sätestatud nõudeid ja tegevuse õiguslikke aluseid“), </w:t>
      </w:r>
      <w:r w:rsidR="00DD690A">
        <w:rPr>
          <w:rFonts w:ascii="Times New Roman" w:hAnsi="Times New Roman"/>
          <w:color w:val="000000"/>
          <w:lang w:val="et-EE"/>
        </w:rPr>
        <w:t xml:space="preserve">siis </w:t>
      </w:r>
      <w:r w:rsidR="00DD690A" w:rsidRPr="00DD690A">
        <w:rPr>
          <w:rFonts w:ascii="Times New Roman" w:hAnsi="Times New Roman"/>
          <w:color w:val="000000"/>
          <w:lang w:val="et-EE"/>
        </w:rPr>
        <w:t xml:space="preserve">IFSi </w:t>
      </w:r>
      <w:r w:rsidR="00DD690A">
        <w:rPr>
          <w:rFonts w:ascii="Times New Roman" w:hAnsi="Times New Roman"/>
          <w:color w:val="000000"/>
          <w:lang w:val="et-EE"/>
        </w:rPr>
        <w:t xml:space="preserve">kehtivates </w:t>
      </w:r>
      <w:r w:rsidR="00DD690A" w:rsidRPr="00DD690A">
        <w:rPr>
          <w:rFonts w:ascii="Times New Roman" w:hAnsi="Times New Roman"/>
          <w:color w:val="000000"/>
          <w:lang w:val="et-EE"/>
        </w:rPr>
        <w:t>siseaudiitori põhinormides seda otseselt sätestatud ei ole, et fondivalitseja siseaudiitor peaks olema AudSi mõttes atesteeritud audiitor.</w:t>
      </w:r>
      <w:r w:rsidR="00DD690A">
        <w:rPr>
          <w:rFonts w:ascii="Times New Roman" w:hAnsi="Times New Roman"/>
          <w:color w:val="000000"/>
          <w:lang w:val="et-EE"/>
        </w:rPr>
        <w:t xml:space="preserve"> S</w:t>
      </w:r>
      <w:r w:rsidR="00DD690A" w:rsidRPr="00DD690A">
        <w:rPr>
          <w:rFonts w:ascii="Times New Roman" w:hAnsi="Times New Roman"/>
          <w:color w:val="000000"/>
          <w:lang w:val="et-EE"/>
        </w:rPr>
        <w:t xml:space="preserve">ee </w:t>
      </w:r>
      <w:r w:rsidR="00DD690A">
        <w:rPr>
          <w:rFonts w:ascii="Times New Roman" w:hAnsi="Times New Roman"/>
          <w:color w:val="000000"/>
          <w:lang w:val="et-EE"/>
        </w:rPr>
        <w:t xml:space="preserve">tuleb </w:t>
      </w:r>
      <w:r w:rsidR="00DD690A" w:rsidRPr="00DD690A">
        <w:rPr>
          <w:rFonts w:ascii="Times New Roman" w:hAnsi="Times New Roman"/>
          <w:color w:val="000000"/>
          <w:lang w:val="et-EE"/>
        </w:rPr>
        <w:t>välja</w:t>
      </w:r>
      <w:r w:rsidR="00DD690A">
        <w:rPr>
          <w:rFonts w:ascii="Times New Roman" w:hAnsi="Times New Roman"/>
          <w:color w:val="000000"/>
          <w:lang w:val="et-EE"/>
        </w:rPr>
        <w:t xml:space="preserve"> üksnes</w:t>
      </w:r>
      <w:r w:rsidR="00DD690A" w:rsidRPr="00DD690A">
        <w:rPr>
          <w:rFonts w:ascii="Times New Roman" w:hAnsi="Times New Roman"/>
          <w:color w:val="000000"/>
          <w:lang w:val="et-EE"/>
        </w:rPr>
        <w:t xml:space="preserve"> järelevalve teavitamise punktist</w:t>
      </w:r>
      <w:r w:rsidR="00DD690A">
        <w:rPr>
          <w:rFonts w:ascii="Times New Roman" w:hAnsi="Times New Roman"/>
          <w:color w:val="000000"/>
          <w:lang w:val="et-EE"/>
        </w:rPr>
        <w:t xml:space="preserve"> IFS § 311 lg 3 p 1.</w:t>
      </w:r>
      <w:r w:rsidR="00DD690A" w:rsidRPr="00DD690A">
        <w:rPr>
          <w:rFonts w:ascii="Times New Roman" w:hAnsi="Times New Roman"/>
          <w:color w:val="000000"/>
          <w:lang w:val="et-EE"/>
        </w:rPr>
        <w:t xml:space="preserve"> </w:t>
      </w:r>
      <w:r w:rsidR="00DD690A">
        <w:rPr>
          <w:rFonts w:ascii="Times New Roman" w:hAnsi="Times New Roman"/>
          <w:color w:val="000000"/>
          <w:lang w:val="et-EE"/>
        </w:rPr>
        <w:t>Õigusselguse huvides tehakse vastav täpsustus ka IFSi fondivalitseja siseaudiitorit puudutavates põhinormides ja lisatakse IFS § 349 lõikesse 2 uus teine lause</w:t>
      </w:r>
      <w:r w:rsidR="00BE0C9C">
        <w:rPr>
          <w:rFonts w:ascii="Times New Roman" w:hAnsi="Times New Roman"/>
          <w:color w:val="000000"/>
          <w:lang w:val="et-EE"/>
        </w:rPr>
        <w:t xml:space="preserve"> (olemasolev teine lause muutub kolmandaks lauseks): </w:t>
      </w:r>
      <w:r w:rsidR="00BE0C9C" w:rsidRPr="00BE0C9C">
        <w:rPr>
          <w:rFonts w:ascii="Times New Roman" w:hAnsi="Times New Roman"/>
          <w:color w:val="000000"/>
          <w:lang w:val="et-EE"/>
        </w:rPr>
        <w:t>„Siseaudiitorile kohaldatakse audiitortegevuse seaduses atesteeritud siseaudiitorile sätestatud nõudeid ja tegevuse õiguslikke aluseid.“</w:t>
      </w:r>
      <w:r w:rsidR="00BE0C9C">
        <w:rPr>
          <w:rFonts w:ascii="Times New Roman" w:hAnsi="Times New Roman"/>
          <w:color w:val="000000"/>
          <w:lang w:val="et-EE"/>
        </w:rPr>
        <w:t xml:space="preserve"> Ei oma tähtsust, kas </w:t>
      </w:r>
      <w:r w:rsidR="00BE0C9C" w:rsidRPr="00DD690A">
        <w:rPr>
          <w:rFonts w:ascii="Times New Roman" w:hAnsi="Times New Roman"/>
          <w:color w:val="000000"/>
          <w:lang w:val="et-EE"/>
        </w:rPr>
        <w:t>siseaudiitor on tööl töölepinguga või osutab teenust nt audiitorbüroo kaudu – just sellel füüsilisel isikul</w:t>
      </w:r>
      <w:r w:rsidR="00BE0C9C">
        <w:rPr>
          <w:rFonts w:ascii="Times New Roman" w:hAnsi="Times New Roman"/>
          <w:color w:val="000000"/>
          <w:lang w:val="et-EE"/>
        </w:rPr>
        <w:t xml:space="preserve"> (vahetult teenust osutav füüsiline isik; vt ka IFS § 311 lg 3 p 1)</w:t>
      </w:r>
      <w:r w:rsidR="00BE0C9C" w:rsidRPr="00DD690A">
        <w:rPr>
          <w:rFonts w:ascii="Times New Roman" w:hAnsi="Times New Roman"/>
          <w:color w:val="000000"/>
          <w:lang w:val="et-EE"/>
        </w:rPr>
        <w:t xml:space="preserve"> peab olema atesteeritud siseaudiitori kutse.</w:t>
      </w:r>
      <w:r w:rsidR="00BE0C9C">
        <w:rPr>
          <w:rFonts w:ascii="Times New Roman" w:hAnsi="Times New Roman"/>
          <w:color w:val="000000"/>
          <w:lang w:val="et-EE"/>
        </w:rPr>
        <w:t xml:space="preserve"> </w:t>
      </w:r>
      <w:r w:rsidR="00BE0C9C" w:rsidRPr="00DD690A">
        <w:rPr>
          <w:rFonts w:ascii="Times New Roman" w:hAnsi="Times New Roman"/>
          <w:color w:val="000000"/>
          <w:lang w:val="et-EE"/>
        </w:rPr>
        <w:t>Auditi meeskonnas võivad olla</w:t>
      </w:r>
      <w:r w:rsidR="00BE0C9C">
        <w:rPr>
          <w:rFonts w:ascii="Times New Roman" w:hAnsi="Times New Roman"/>
          <w:color w:val="000000"/>
          <w:lang w:val="et-EE"/>
        </w:rPr>
        <w:t xml:space="preserve"> lisaks</w:t>
      </w:r>
      <w:r w:rsidR="00BE0C9C" w:rsidRPr="00DD690A">
        <w:rPr>
          <w:rFonts w:ascii="Times New Roman" w:hAnsi="Times New Roman"/>
          <w:color w:val="000000"/>
          <w:lang w:val="et-EE"/>
        </w:rPr>
        <w:t xml:space="preserve"> ka isikud, keda siseaudiitor usaldab, kuid kellel atesteeringut ei ole, lõpliku aruande allkirjasta</w:t>
      </w:r>
      <w:r w:rsidR="00BE0C9C">
        <w:rPr>
          <w:rFonts w:ascii="Times New Roman" w:hAnsi="Times New Roman"/>
          <w:color w:val="000000"/>
          <w:lang w:val="et-EE"/>
        </w:rPr>
        <w:t>b ja</w:t>
      </w:r>
      <w:r w:rsidR="00BE0C9C" w:rsidRPr="00DD690A">
        <w:rPr>
          <w:rFonts w:ascii="Times New Roman" w:hAnsi="Times New Roman"/>
          <w:color w:val="000000"/>
          <w:lang w:val="et-EE"/>
        </w:rPr>
        <w:t xml:space="preserve"> </w:t>
      </w:r>
      <w:r w:rsidR="00BE0C9C">
        <w:rPr>
          <w:rFonts w:ascii="Times New Roman" w:hAnsi="Times New Roman"/>
          <w:color w:val="000000"/>
          <w:lang w:val="et-EE"/>
        </w:rPr>
        <w:t xml:space="preserve">vastutuse võtab aga </w:t>
      </w:r>
      <w:r w:rsidR="00BE0C9C" w:rsidRPr="00DD690A">
        <w:rPr>
          <w:rFonts w:ascii="Times New Roman" w:hAnsi="Times New Roman"/>
          <w:color w:val="000000"/>
          <w:lang w:val="et-EE"/>
        </w:rPr>
        <w:t>atesteeritud siseaudiitor.</w:t>
      </w:r>
    </w:p>
    <w:p w14:paraId="64EB11ED" w14:textId="77777777" w:rsidR="00F85A3F" w:rsidRPr="00896B87" w:rsidRDefault="00F85A3F" w:rsidP="00D32BED">
      <w:pPr>
        <w:rPr>
          <w:rFonts w:ascii="Times New Roman" w:hAnsi="Times New Roman"/>
          <w:color w:val="000000"/>
          <w:lang w:val="et-EE"/>
        </w:rPr>
      </w:pPr>
    </w:p>
    <w:p w14:paraId="1BD95F18" w14:textId="596FCEBE" w:rsidR="00BF117B" w:rsidRDefault="00BF117B" w:rsidP="00D32BED">
      <w:pPr>
        <w:jc w:val="both"/>
        <w:rPr>
          <w:rFonts w:ascii="Times New Roman" w:hAnsi="Times New Roman"/>
          <w:lang w:val="et-EE"/>
        </w:rPr>
      </w:pPr>
      <w:r>
        <w:rPr>
          <w:rFonts w:ascii="Times New Roman" w:hAnsi="Times New Roman"/>
          <w:b/>
          <w:bCs/>
          <w:lang w:val="et-EE"/>
        </w:rPr>
        <w:t>IFS § 3</w:t>
      </w:r>
      <w:r w:rsidRPr="00BF117B">
        <w:rPr>
          <w:rFonts w:ascii="Times New Roman" w:hAnsi="Times New Roman"/>
          <w:b/>
          <w:bCs/>
          <w:lang w:val="et-EE"/>
        </w:rPr>
        <w:t>6</w:t>
      </w:r>
      <w:r>
        <w:rPr>
          <w:rFonts w:ascii="Times New Roman" w:hAnsi="Times New Roman"/>
          <w:b/>
          <w:bCs/>
          <w:lang w:val="et-EE"/>
        </w:rPr>
        <w:t>3 l</w:t>
      </w:r>
      <w:r w:rsidR="00117DED">
        <w:rPr>
          <w:rFonts w:ascii="Times New Roman" w:hAnsi="Times New Roman"/>
          <w:b/>
          <w:bCs/>
          <w:lang w:val="et-EE"/>
        </w:rPr>
        <w:t>õi</w:t>
      </w:r>
      <w:r>
        <w:rPr>
          <w:rFonts w:ascii="Times New Roman" w:hAnsi="Times New Roman"/>
          <w:b/>
          <w:bCs/>
          <w:lang w:val="et-EE"/>
        </w:rPr>
        <w:t>g</w:t>
      </w:r>
      <w:r w:rsidR="00117DED">
        <w:rPr>
          <w:rFonts w:ascii="Times New Roman" w:hAnsi="Times New Roman"/>
          <w:b/>
          <w:bCs/>
          <w:lang w:val="et-EE"/>
        </w:rPr>
        <w:t>e</w:t>
      </w:r>
      <w:r>
        <w:rPr>
          <w:rFonts w:ascii="Times New Roman" w:hAnsi="Times New Roman"/>
          <w:b/>
          <w:bCs/>
          <w:lang w:val="et-EE"/>
        </w:rPr>
        <w:t xml:space="preserve"> 4.</w:t>
      </w:r>
      <w:r w:rsidRPr="00BF117B">
        <w:rPr>
          <w:rFonts w:ascii="Times New Roman" w:hAnsi="Times New Roman"/>
          <w:lang w:val="et-EE"/>
        </w:rPr>
        <w:t xml:space="preserve"> </w:t>
      </w:r>
      <w:r>
        <w:rPr>
          <w:rFonts w:ascii="Times New Roman" w:hAnsi="Times New Roman"/>
          <w:lang w:val="et-EE"/>
        </w:rPr>
        <w:t>P</w:t>
      </w:r>
      <w:r w:rsidRPr="00BF117B">
        <w:rPr>
          <w:rFonts w:ascii="Times New Roman" w:hAnsi="Times New Roman"/>
          <w:lang w:val="et-EE"/>
        </w:rPr>
        <w:t>aragrahvi</w:t>
      </w:r>
      <w:r>
        <w:rPr>
          <w:rFonts w:ascii="Times New Roman" w:hAnsi="Times New Roman"/>
          <w:lang w:val="et-EE"/>
        </w:rPr>
        <w:t xml:space="preserve"> lisatakse uus lõige, milles sätestatakse, et k</w:t>
      </w:r>
      <w:r w:rsidRPr="00BF117B">
        <w:rPr>
          <w:rFonts w:ascii="Times New Roman" w:hAnsi="Times New Roman"/>
          <w:lang w:val="et-EE"/>
        </w:rPr>
        <w:t xml:space="preserve">ohustusliku pensionifondi valitseja on kohustatud fondi vara investeerimise ja riskide juhtimisega seonduvalt avaldama jätkusuutlikkust käsitlevat teavet, järgides </w:t>
      </w:r>
      <w:bookmarkStart w:id="4" w:name="_Hlk127194718"/>
      <w:r w:rsidRPr="00BF117B">
        <w:rPr>
          <w:rFonts w:ascii="Times New Roman" w:hAnsi="Times New Roman"/>
          <w:lang w:val="et-EE"/>
        </w:rPr>
        <w:t>määruses 2019/2088 sätestatut.</w:t>
      </w:r>
      <w:r>
        <w:rPr>
          <w:rFonts w:ascii="Times New Roman" w:hAnsi="Times New Roman"/>
          <w:lang w:val="et-EE"/>
        </w:rPr>
        <w:t xml:space="preserve"> </w:t>
      </w:r>
    </w:p>
    <w:p w14:paraId="6B91DFFC" w14:textId="77777777" w:rsidR="00BF117B" w:rsidRDefault="00BF117B" w:rsidP="00D32BED">
      <w:pPr>
        <w:jc w:val="both"/>
        <w:rPr>
          <w:rFonts w:ascii="Times New Roman" w:hAnsi="Times New Roman"/>
          <w:lang w:val="et-EE"/>
        </w:rPr>
      </w:pPr>
    </w:p>
    <w:p w14:paraId="5BC9ABBD" w14:textId="4356FD8F" w:rsidR="00BF117B" w:rsidRDefault="00BF117B"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Määruse 2019/2088 kohaselt tuleb f</w:t>
      </w:r>
      <w:r w:rsidRPr="00850A5D">
        <w:rPr>
          <w:rFonts w:ascii="Times New Roman" w:hAnsi="Times New Roman"/>
          <w:u w:color="0000FF"/>
          <w:lang w:val="et-EE"/>
        </w:rPr>
        <w:t>inantsturu osalis</w:t>
      </w:r>
      <w:r>
        <w:rPr>
          <w:rFonts w:ascii="Times New Roman" w:hAnsi="Times New Roman"/>
          <w:u w:color="0000FF"/>
          <w:lang w:val="et-EE"/>
        </w:rPr>
        <w:t>t</w:t>
      </w:r>
      <w:r w:rsidRPr="00850A5D">
        <w:rPr>
          <w:rFonts w:ascii="Times New Roman" w:hAnsi="Times New Roman"/>
          <w:u w:color="0000FF"/>
          <w:lang w:val="et-EE"/>
        </w:rPr>
        <w:t>e</w:t>
      </w:r>
      <w:r>
        <w:rPr>
          <w:rFonts w:ascii="Times New Roman" w:hAnsi="Times New Roman"/>
          <w:u w:color="0000FF"/>
          <w:lang w:val="et-EE"/>
        </w:rPr>
        <w:t>l</w:t>
      </w:r>
      <w:r w:rsidRPr="00850A5D">
        <w:rPr>
          <w:rFonts w:ascii="Times New Roman" w:hAnsi="Times New Roman"/>
          <w:u w:color="0000FF"/>
          <w:lang w:val="et-EE"/>
        </w:rPr>
        <w:t xml:space="preserve"> avalda</w:t>
      </w:r>
      <w:r>
        <w:rPr>
          <w:rFonts w:ascii="Times New Roman" w:hAnsi="Times New Roman"/>
          <w:u w:color="0000FF"/>
          <w:lang w:val="et-EE"/>
        </w:rPr>
        <w:t>da</w:t>
      </w:r>
      <w:r w:rsidRPr="00850A5D">
        <w:rPr>
          <w:rFonts w:ascii="Times New Roman" w:hAnsi="Times New Roman"/>
          <w:u w:color="0000FF"/>
          <w:lang w:val="et-EE"/>
        </w:rPr>
        <w:t xml:space="preserve"> oma v</w:t>
      </w:r>
      <w:r>
        <w:rPr>
          <w:rFonts w:ascii="Times New Roman" w:hAnsi="Times New Roman"/>
          <w:u w:color="0000FF"/>
          <w:lang w:val="et-EE"/>
        </w:rPr>
        <w:t xml:space="preserve">eebilehtedel mitmesugust teavet jätkusuutlikkusriskide kohta, sealhulgas näiteks </w:t>
      </w:r>
      <w:r w:rsidRPr="00850A5D">
        <w:rPr>
          <w:rFonts w:ascii="Times New Roman" w:hAnsi="Times New Roman"/>
          <w:u w:color="0000FF"/>
          <w:lang w:val="et-EE"/>
        </w:rPr>
        <w:t xml:space="preserve">põhimõtete kohta, mida </w:t>
      </w:r>
      <w:r>
        <w:rPr>
          <w:rFonts w:ascii="Times New Roman" w:hAnsi="Times New Roman"/>
          <w:u w:color="0000FF"/>
          <w:lang w:val="et-EE"/>
        </w:rPr>
        <w:t xml:space="preserve">nad </w:t>
      </w:r>
      <w:r w:rsidRPr="00850A5D">
        <w:rPr>
          <w:rFonts w:ascii="Times New Roman" w:hAnsi="Times New Roman"/>
          <w:u w:color="0000FF"/>
          <w:lang w:val="et-EE"/>
        </w:rPr>
        <w:t>järgi</w:t>
      </w:r>
      <w:r>
        <w:rPr>
          <w:rFonts w:ascii="Times New Roman" w:hAnsi="Times New Roman"/>
          <w:u w:color="0000FF"/>
          <w:lang w:val="et-EE"/>
        </w:rPr>
        <w:t>vad</w:t>
      </w:r>
      <w:r w:rsidRPr="00850A5D">
        <w:rPr>
          <w:rFonts w:ascii="Times New Roman" w:hAnsi="Times New Roman"/>
          <w:u w:color="0000FF"/>
          <w:lang w:val="et-EE"/>
        </w:rPr>
        <w:t xml:space="preserve"> jätkusuutlikkusriskide</w:t>
      </w:r>
      <w:r>
        <w:rPr>
          <w:rFonts w:ascii="Times New Roman" w:hAnsi="Times New Roman"/>
          <w:u w:color="0000FF"/>
          <w:lang w:val="et-EE"/>
        </w:rPr>
        <w:t xml:space="preserve"> </w:t>
      </w:r>
      <w:r w:rsidRPr="00850A5D">
        <w:rPr>
          <w:rFonts w:ascii="Times New Roman" w:hAnsi="Times New Roman"/>
          <w:u w:color="0000FF"/>
          <w:lang w:val="et-EE"/>
        </w:rPr>
        <w:t xml:space="preserve">lõimimisel investeerimisotsuste </w:t>
      </w:r>
      <w:r>
        <w:rPr>
          <w:rFonts w:ascii="Times New Roman" w:hAnsi="Times New Roman"/>
          <w:u w:color="0000FF"/>
          <w:lang w:val="et-EE"/>
        </w:rPr>
        <w:t xml:space="preserve">langetamise </w:t>
      </w:r>
      <w:r w:rsidRPr="00850A5D">
        <w:rPr>
          <w:rFonts w:ascii="Times New Roman" w:hAnsi="Times New Roman"/>
          <w:u w:color="0000FF"/>
          <w:lang w:val="et-EE"/>
        </w:rPr>
        <w:t>protsessi</w:t>
      </w:r>
      <w:r>
        <w:rPr>
          <w:rFonts w:ascii="Times New Roman" w:hAnsi="Times New Roman"/>
          <w:u w:color="0000FF"/>
          <w:lang w:val="et-EE"/>
        </w:rPr>
        <w:t xml:space="preserve">, </w:t>
      </w:r>
      <w:r>
        <w:rPr>
          <w:rFonts w:ascii="Times New Roman" w:hAnsi="Times New Roman"/>
          <w:u w:color="0000FF"/>
          <w:lang w:val="et-EE"/>
        </w:rPr>
        <w:lastRenderedPageBreak/>
        <w:t xml:space="preserve">hoiatavat teavet selle kohta, kui nad leiavad, et investeerimisotsused mõjutavad jätkusuutlikkustegureid põhiliselt negatiivselt või kui investeeringute tegemisel selliseid mõjusid ei hinnata ega arvestata, siis põhjendused selle kohta. Muu hulgas kohaldub nimetatud määrus vabatahtlike pensionifondide valitsejate suhtes. Kohustuslike pensionifondide suhtes, mis kuuluvad </w:t>
      </w:r>
      <w:r w:rsidRPr="00D14FA4">
        <w:rPr>
          <w:rFonts w:ascii="Times New Roman" w:hAnsi="Times New Roman"/>
          <w:u w:color="0000FF"/>
          <w:lang w:val="et-EE"/>
        </w:rPr>
        <w:t>määruste (EÜ) nr 883/2004 ja (EÜ) nr 987/2009 kohaldamisalasse</w:t>
      </w:r>
      <w:r>
        <w:rPr>
          <w:rFonts w:ascii="Times New Roman" w:hAnsi="Times New Roman"/>
          <w:u w:color="0000FF"/>
          <w:lang w:val="et-EE"/>
        </w:rPr>
        <w:t xml:space="preserve">, teeb määruse 2019/2088 artikkel 16 erandi, sätestades, et riikliku sotsiaalkindlustussüsteemi osaks olevate pensioniskeemide pakkujate suhtes </w:t>
      </w:r>
      <w:r w:rsidR="003A45C8">
        <w:rPr>
          <w:rFonts w:ascii="Times New Roman" w:hAnsi="Times New Roman"/>
          <w:u w:color="0000FF"/>
          <w:lang w:val="et-EE"/>
        </w:rPr>
        <w:t xml:space="preserve">määruse kohaldamise võivad </w:t>
      </w:r>
      <w:r>
        <w:rPr>
          <w:rFonts w:ascii="Times New Roman" w:hAnsi="Times New Roman"/>
          <w:u w:color="0000FF"/>
          <w:lang w:val="et-EE"/>
        </w:rPr>
        <w:t>l</w:t>
      </w:r>
      <w:r w:rsidRPr="00D14FA4">
        <w:rPr>
          <w:rFonts w:ascii="Times New Roman" w:hAnsi="Times New Roman"/>
          <w:u w:color="0000FF"/>
          <w:lang w:val="et-EE"/>
        </w:rPr>
        <w:t xml:space="preserve">iikmesriigid </w:t>
      </w:r>
      <w:r w:rsidR="003A45C8">
        <w:rPr>
          <w:rFonts w:ascii="Times New Roman" w:hAnsi="Times New Roman"/>
          <w:u w:color="0000FF"/>
          <w:lang w:val="et-EE"/>
        </w:rPr>
        <w:t xml:space="preserve">ise </w:t>
      </w:r>
      <w:r w:rsidRPr="00D14FA4">
        <w:rPr>
          <w:rFonts w:ascii="Times New Roman" w:hAnsi="Times New Roman"/>
          <w:u w:color="0000FF"/>
          <w:lang w:val="et-EE"/>
        </w:rPr>
        <w:t>otsustada</w:t>
      </w:r>
      <w:r w:rsidR="003A45C8">
        <w:rPr>
          <w:rFonts w:ascii="Times New Roman" w:hAnsi="Times New Roman"/>
          <w:u w:color="0000FF"/>
          <w:lang w:val="et-EE"/>
        </w:rPr>
        <w:t xml:space="preserve">. </w:t>
      </w:r>
      <w:r w:rsidRPr="00D14FA4">
        <w:rPr>
          <w:rFonts w:ascii="Times New Roman" w:hAnsi="Times New Roman"/>
          <w:u w:color="0000FF"/>
          <w:lang w:val="et-EE"/>
        </w:rPr>
        <w:t xml:space="preserve"> </w:t>
      </w:r>
      <w:r>
        <w:rPr>
          <w:rFonts w:ascii="Times New Roman" w:hAnsi="Times New Roman"/>
          <w:u w:color="0000FF"/>
          <w:lang w:val="et-EE"/>
        </w:rPr>
        <w:t xml:space="preserve">Määruse artiklis 16 sätestatut arvestades sätestataksegi eelnõuga, et </w:t>
      </w:r>
      <w:r w:rsidRPr="00E86CAE">
        <w:rPr>
          <w:rFonts w:ascii="Times New Roman" w:hAnsi="Times New Roman"/>
          <w:u w:color="0000FF"/>
          <w:lang w:val="et-EE"/>
        </w:rPr>
        <w:t xml:space="preserve">pensionifondi valitseja on kohustatud </w:t>
      </w:r>
      <w:r>
        <w:rPr>
          <w:rFonts w:ascii="Times New Roman" w:hAnsi="Times New Roman"/>
          <w:u w:color="0000FF"/>
          <w:lang w:val="et-EE"/>
        </w:rPr>
        <w:t>kohustusliku pensioni</w:t>
      </w:r>
      <w:r w:rsidRPr="00E86CAE">
        <w:rPr>
          <w:rFonts w:ascii="Times New Roman" w:hAnsi="Times New Roman"/>
          <w:u w:color="0000FF"/>
          <w:lang w:val="et-EE"/>
        </w:rPr>
        <w:t>fondi vara investeerimise ja riskide juhtimisega seonduvalt avaldama jätkusuutlikkust käsitlevat teavet</w:t>
      </w:r>
      <w:r w:rsidR="003A45C8">
        <w:rPr>
          <w:rFonts w:ascii="Times New Roman" w:hAnsi="Times New Roman"/>
          <w:u w:color="0000FF"/>
          <w:lang w:val="et-EE"/>
        </w:rPr>
        <w:t>. Määruse 2019/2088 kohaldamine</w:t>
      </w:r>
      <w:r w:rsidRPr="00E86CAE">
        <w:rPr>
          <w:rFonts w:ascii="Times New Roman" w:hAnsi="Times New Roman"/>
          <w:u w:color="0000FF"/>
          <w:lang w:val="et-EE"/>
        </w:rPr>
        <w:t xml:space="preserve"> </w:t>
      </w:r>
      <w:r w:rsidR="003A45C8">
        <w:rPr>
          <w:rFonts w:ascii="Times New Roman" w:hAnsi="Times New Roman"/>
          <w:u w:color="0000FF"/>
          <w:lang w:val="et-EE"/>
        </w:rPr>
        <w:t>t</w:t>
      </w:r>
      <w:r>
        <w:rPr>
          <w:rFonts w:ascii="Times New Roman" w:hAnsi="Times New Roman"/>
          <w:u w:color="0000FF"/>
          <w:lang w:val="et-EE"/>
        </w:rPr>
        <w:t xml:space="preserve">ingib omakorda määruse 2020/852 kohaldamise, mis </w:t>
      </w:r>
      <w:r w:rsidRPr="00E86CAE">
        <w:rPr>
          <w:rFonts w:ascii="Times New Roman" w:hAnsi="Times New Roman"/>
          <w:u w:color="0000FF"/>
          <w:lang w:val="et-EE"/>
        </w:rPr>
        <w:t>kehtest</w:t>
      </w:r>
      <w:r>
        <w:rPr>
          <w:rFonts w:ascii="Times New Roman" w:hAnsi="Times New Roman"/>
          <w:u w:color="0000FF"/>
          <w:lang w:val="et-EE"/>
        </w:rPr>
        <w:t>ab</w:t>
      </w:r>
      <w:r w:rsidRPr="00E86CAE">
        <w:rPr>
          <w:rFonts w:ascii="Times New Roman" w:hAnsi="Times New Roman"/>
          <w:u w:color="0000FF"/>
          <w:lang w:val="et-EE"/>
        </w:rPr>
        <w:t xml:space="preserve"> kriteeriumid, mille alusel määratakse kindlaks, kas majandustegevus liigitatakse keskkonnasäästlikuks, et teha kindlaks investeeringu keskkonnasäästlikkuse määr.</w:t>
      </w:r>
      <w:r>
        <w:rPr>
          <w:rFonts w:ascii="Times New Roman" w:hAnsi="Times New Roman"/>
          <w:u w:color="0000FF"/>
          <w:lang w:val="et-EE"/>
        </w:rPr>
        <w:t xml:space="preserve"> </w:t>
      </w:r>
    </w:p>
    <w:p w14:paraId="62CE511E" w14:textId="77777777" w:rsidR="00BF117B" w:rsidRDefault="00BF117B" w:rsidP="00D32BED">
      <w:pPr>
        <w:widowControl w:val="0"/>
        <w:autoSpaceDE w:val="0"/>
        <w:autoSpaceDN w:val="0"/>
        <w:adjustRightInd w:val="0"/>
        <w:jc w:val="both"/>
        <w:rPr>
          <w:rFonts w:ascii="Times New Roman" w:hAnsi="Times New Roman"/>
          <w:u w:color="0000FF"/>
          <w:lang w:val="et-EE"/>
        </w:rPr>
      </w:pPr>
    </w:p>
    <w:p w14:paraId="200AD57A" w14:textId="3473DB8F" w:rsidR="00BF117B" w:rsidRDefault="003A45C8" w:rsidP="00D32BED">
      <w:pPr>
        <w:widowControl w:val="0"/>
        <w:autoSpaceDE w:val="0"/>
        <w:autoSpaceDN w:val="0"/>
        <w:adjustRightInd w:val="0"/>
        <w:jc w:val="both"/>
        <w:rPr>
          <w:rFonts w:ascii="Times New Roman" w:hAnsi="Times New Roman"/>
          <w:u w:color="0000FF"/>
          <w:lang w:val="et-EE"/>
        </w:rPr>
      </w:pPr>
      <w:r>
        <w:rPr>
          <w:rFonts w:ascii="Times New Roman" w:hAnsi="Times New Roman"/>
          <w:u w:color="0000FF"/>
          <w:lang w:val="et-EE"/>
        </w:rPr>
        <w:t>Praktikas valitsevad k</w:t>
      </w:r>
      <w:r w:rsidR="00BF117B">
        <w:rPr>
          <w:rFonts w:ascii="Times New Roman" w:hAnsi="Times New Roman"/>
          <w:u w:color="0000FF"/>
          <w:lang w:val="et-EE"/>
        </w:rPr>
        <w:t xml:space="preserve">ohustuslike pensionifondide valitsejad ka vabatahtlikke pensionifonde </w:t>
      </w:r>
      <w:r>
        <w:rPr>
          <w:rFonts w:ascii="Times New Roman" w:hAnsi="Times New Roman"/>
          <w:u w:color="0000FF"/>
          <w:lang w:val="et-EE"/>
        </w:rPr>
        <w:t>ning</w:t>
      </w:r>
      <w:r w:rsidR="00BF117B">
        <w:rPr>
          <w:rFonts w:ascii="Times New Roman" w:hAnsi="Times New Roman"/>
          <w:u w:color="0000FF"/>
          <w:lang w:val="et-EE"/>
        </w:rPr>
        <w:t xml:space="preserve"> osa neist ka eurofonde või alternatiivfonde, mille kõigi puhul tuleb j</w:t>
      </w:r>
      <w:r w:rsidR="00BF117B" w:rsidRPr="00E86CAE">
        <w:rPr>
          <w:rFonts w:ascii="Times New Roman" w:hAnsi="Times New Roman"/>
          <w:u w:color="0000FF"/>
          <w:lang w:val="et-EE"/>
        </w:rPr>
        <w:t>ätkusuutlikkust käsitlevat teavet</w:t>
      </w:r>
      <w:r w:rsidR="00BF117B">
        <w:rPr>
          <w:rFonts w:ascii="Times New Roman" w:hAnsi="Times New Roman"/>
          <w:u w:color="0000FF"/>
          <w:lang w:val="et-EE"/>
        </w:rPr>
        <w:t xml:space="preserve"> avaldada. </w:t>
      </w:r>
      <w:r>
        <w:rPr>
          <w:rFonts w:ascii="Times New Roman" w:hAnsi="Times New Roman"/>
          <w:u w:color="0000FF"/>
          <w:lang w:val="et-EE"/>
        </w:rPr>
        <w:t xml:space="preserve">Enamik </w:t>
      </w:r>
      <w:r w:rsidR="00BF117B">
        <w:rPr>
          <w:rFonts w:ascii="Times New Roman" w:hAnsi="Times New Roman"/>
          <w:u w:color="0000FF"/>
          <w:lang w:val="et-EE"/>
        </w:rPr>
        <w:t xml:space="preserve">pensionifondi valitsejaid </w:t>
      </w:r>
      <w:r>
        <w:rPr>
          <w:rFonts w:ascii="Times New Roman" w:hAnsi="Times New Roman"/>
          <w:u w:color="0000FF"/>
          <w:lang w:val="et-EE"/>
        </w:rPr>
        <w:t xml:space="preserve">on </w:t>
      </w:r>
      <w:r w:rsidR="00BF117B">
        <w:rPr>
          <w:rFonts w:ascii="Times New Roman" w:hAnsi="Times New Roman"/>
          <w:u w:color="0000FF"/>
          <w:lang w:val="et-EE"/>
        </w:rPr>
        <w:t>määruses sätestatud põhimõtteid kohustuslike pensionifondide puhul juba vabatahtlikult ka rakendanud</w:t>
      </w:r>
      <w:r>
        <w:rPr>
          <w:rFonts w:ascii="Times New Roman" w:hAnsi="Times New Roman"/>
          <w:u w:color="0000FF"/>
          <w:lang w:val="et-EE"/>
        </w:rPr>
        <w:t>.</w:t>
      </w:r>
    </w:p>
    <w:p w14:paraId="71B7D1E6" w14:textId="77777777" w:rsidR="00BF117B" w:rsidRDefault="00BF117B" w:rsidP="00D32BED">
      <w:pPr>
        <w:jc w:val="both"/>
        <w:rPr>
          <w:rFonts w:ascii="Times New Roman" w:hAnsi="Times New Roman"/>
          <w:lang w:val="et-EE"/>
        </w:rPr>
      </w:pPr>
    </w:p>
    <w:p w14:paraId="1B05883F" w14:textId="28113CD5" w:rsidR="00BE73FA" w:rsidRPr="00DD114F" w:rsidRDefault="00DD114F" w:rsidP="00D32BED">
      <w:pPr>
        <w:jc w:val="both"/>
        <w:rPr>
          <w:rFonts w:ascii="Times New Roman" w:hAnsi="Times New Roman"/>
          <w:lang w:val="et-EE"/>
        </w:rPr>
      </w:pPr>
      <w:r w:rsidRPr="00DD114F">
        <w:rPr>
          <w:rFonts w:ascii="Times New Roman" w:hAnsi="Times New Roman"/>
          <w:b/>
          <w:bCs/>
          <w:lang w:val="et-EE"/>
        </w:rPr>
        <w:t>IFS § 408 lõige 1</w:t>
      </w:r>
      <w:r w:rsidRPr="00DD114F">
        <w:rPr>
          <w:rFonts w:ascii="Times New Roman" w:hAnsi="Times New Roman"/>
          <w:b/>
          <w:bCs/>
          <w:vertAlign w:val="superscript"/>
          <w:lang w:val="et-EE"/>
        </w:rPr>
        <w:t>1</w:t>
      </w:r>
      <w:r w:rsidRPr="00DD114F">
        <w:rPr>
          <w:rFonts w:ascii="Times New Roman" w:hAnsi="Times New Roman"/>
          <w:b/>
          <w:bCs/>
          <w:lang w:val="et-EE"/>
        </w:rPr>
        <w:t>.</w:t>
      </w:r>
      <w:r>
        <w:rPr>
          <w:rFonts w:ascii="Times New Roman" w:hAnsi="Times New Roman"/>
          <w:lang w:val="et-EE"/>
        </w:rPr>
        <w:t xml:space="preserve"> Paragrahv reguleerib teise lepinguriigi eurofondi avalikku pakkumist Eestis. Lõike e</w:t>
      </w:r>
      <w:r w:rsidR="00BE73FA">
        <w:rPr>
          <w:rFonts w:ascii="Times New Roman" w:hAnsi="Times New Roman"/>
          <w:u w:color="0000FF"/>
          <w:lang w:val="et-EE"/>
        </w:rPr>
        <w:t xml:space="preserve">simesele lausele antakse eelnõuga uus sõnastus ja lõikesse lisatakse uus teine lause. Kolmas lause </w:t>
      </w:r>
      <w:r>
        <w:rPr>
          <w:rFonts w:ascii="Times New Roman" w:hAnsi="Times New Roman"/>
          <w:u w:color="0000FF"/>
          <w:lang w:val="et-EE"/>
        </w:rPr>
        <w:t>säilib</w:t>
      </w:r>
      <w:r w:rsidR="00BE73FA">
        <w:rPr>
          <w:rFonts w:ascii="Times New Roman" w:hAnsi="Times New Roman"/>
          <w:u w:color="0000FF"/>
          <w:lang w:val="et-EE"/>
        </w:rPr>
        <w:t xml:space="preserve"> muutmata kujul. </w:t>
      </w:r>
      <w:r w:rsidR="00BE73FA" w:rsidRPr="00BE73FA">
        <w:rPr>
          <w:rFonts w:ascii="Times New Roman" w:hAnsi="Times New Roman"/>
          <w:u w:color="0000FF"/>
          <w:lang w:val="et-EE"/>
        </w:rPr>
        <w:t>Muudatuse aluseks on direktiivi 2019/1160</w:t>
      </w:r>
      <w:r w:rsidR="00BE73FA">
        <w:rPr>
          <w:rFonts w:ascii="Times New Roman" w:hAnsi="Times New Roman"/>
          <w:u w:color="0000FF"/>
          <w:lang w:val="et-EE"/>
        </w:rPr>
        <w:t xml:space="preserve"> </w:t>
      </w:r>
      <w:r w:rsidR="00BE73FA" w:rsidRPr="00BE73FA">
        <w:rPr>
          <w:rFonts w:ascii="Times New Roman" w:hAnsi="Times New Roman"/>
          <w:u w:color="0000FF"/>
          <w:lang w:val="et-EE"/>
        </w:rPr>
        <w:t>artikl</w:t>
      </w:r>
      <w:r w:rsidR="00BE73FA">
        <w:rPr>
          <w:rFonts w:ascii="Times New Roman" w:hAnsi="Times New Roman"/>
          <w:u w:color="0000FF"/>
          <w:lang w:val="et-EE"/>
        </w:rPr>
        <w:t>i</w:t>
      </w:r>
      <w:r w:rsidR="00BE73FA" w:rsidRPr="00BE73FA">
        <w:rPr>
          <w:rFonts w:ascii="Times New Roman" w:hAnsi="Times New Roman"/>
          <w:u w:color="0000FF"/>
          <w:lang w:val="et-EE"/>
        </w:rPr>
        <w:t xml:space="preserve"> 1</w:t>
      </w:r>
      <w:r w:rsidR="00117DED">
        <w:rPr>
          <w:rFonts w:ascii="Times New Roman" w:hAnsi="Times New Roman"/>
          <w:u w:color="0000FF"/>
          <w:lang w:val="et-EE"/>
        </w:rPr>
        <w:t xml:space="preserve"> lõige </w:t>
      </w:r>
      <w:r w:rsidR="00BE73FA" w:rsidRPr="00BE73FA">
        <w:rPr>
          <w:rFonts w:ascii="Times New Roman" w:hAnsi="Times New Roman"/>
          <w:u w:color="0000FF"/>
          <w:lang w:val="et-EE"/>
        </w:rPr>
        <w:t xml:space="preserve">4 ja </w:t>
      </w:r>
      <w:r w:rsidR="00117DED">
        <w:rPr>
          <w:rFonts w:ascii="Times New Roman" w:hAnsi="Times New Roman"/>
          <w:u w:color="0000FF"/>
          <w:lang w:val="et-EE"/>
        </w:rPr>
        <w:t xml:space="preserve">artikli </w:t>
      </w:r>
      <w:r w:rsidR="00BE73FA" w:rsidRPr="00BE73FA">
        <w:rPr>
          <w:rFonts w:ascii="Times New Roman" w:hAnsi="Times New Roman"/>
          <w:u w:color="0000FF"/>
          <w:lang w:val="et-EE"/>
        </w:rPr>
        <w:t>2</w:t>
      </w:r>
      <w:r w:rsidR="00117DED">
        <w:rPr>
          <w:rFonts w:ascii="Times New Roman" w:hAnsi="Times New Roman"/>
          <w:u w:color="0000FF"/>
          <w:lang w:val="et-EE"/>
        </w:rPr>
        <w:t xml:space="preserve"> lõige </w:t>
      </w:r>
      <w:r w:rsidR="00BE73FA" w:rsidRPr="00BE73FA">
        <w:rPr>
          <w:rFonts w:ascii="Times New Roman" w:hAnsi="Times New Roman"/>
          <w:u w:color="0000FF"/>
          <w:lang w:val="et-EE"/>
        </w:rPr>
        <w:t xml:space="preserve">6. IFS-i lisatakse selge viide, et fondile </w:t>
      </w:r>
      <w:r w:rsidR="00BE73FA">
        <w:rPr>
          <w:rFonts w:ascii="Times New Roman" w:hAnsi="Times New Roman"/>
          <w:u w:color="0000FF"/>
          <w:lang w:val="et-EE"/>
        </w:rPr>
        <w:t>sama paragrahvi</w:t>
      </w:r>
      <w:r w:rsidR="00BE73FA" w:rsidRPr="00BE73FA">
        <w:rPr>
          <w:rFonts w:ascii="Times New Roman" w:hAnsi="Times New Roman"/>
          <w:u w:color="0000FF"/>
          <w:lang w:val="et-EE"/>
        </w:rPr>
        <w:t xml:space="preserve"> l</w:t>
      </w:r>
      <w:r w:rsidR="00BE73FA">
        <w:rPr>
          <w:rFonts w:ascii="Times New Roman" w:hAnsi="Times New Roman"/>
          <w:u w:color="0000FF"/>
          <w:lang w:val="et-EE"/>
        </w:rPr>
        <w:t>õikes</w:t>
      </w:r>
      <w:r w:rsidR="00BE73FA" w:rsidRPr="00BE73FA">
        <w:rPr>
          <w:rFonts w:ascii="Times New Roman" w:hAnsi="Times New Roman"/>
          <w:u w:color="0000FF"/>
          <w:lang w:val="et-EE"/>
        </w:rPr>
        <w:t xml:space="preserve"> 1 </w:t>
      </w:r>
      <w:r w:rsidR="00BE73FA">
        <w:rPr>
          <w:rFonts w:ascii="Times New Roman" w:hAnsi="Times New Roman"/>
          <w:u w:color="0000FF"/>
          <w:lang w:val="et-EE"/>
        </w:rPr>
        <w:t>pandu</w:t>
      </w:r>
      <w:r w:rsidR="00BE73FA" w:rsidRPr="00BE73FA">
        <w:rPr>
          <w:rFonts w:ascii="Times New Roman" w:hAnsi="Times New Roman"/>
          <w:u w:color="0000FF"/>
          <w:lang w:val="et-EE"/>
        </w:rPr>
        <w:t>d kohustusi võib täita kas fondivalitseja, tema määratud kolmas isik või mõlemad, jagades kohustuste täitmist omavahel.</w:t>
      </w:r>
    </w:p>
    <w:p w14:paraId="610CFAC8" w14:textId="77777777" w:rsidR="00BE73FA" w:rsidRDefault="00BE73FA" w:rsidP="00D32BED">
      <w:pPr>
        <w:jc w:val="both"/>
        <w:rPr>
          <w:rFonts w:ascii="Times New Roman" w:hAnsi="Times New Roman"/>
          <w:lang w:val="et-EE"/>
        </w:rPr>
      </w:pPr>
    </w:p>
    <w:p w14:paraId="3A1E88C3" w14:textId="68FC1EDC" w:rsidR="009F52E2" w:rsidRPr="00DD114F" w:rsidRDefault="009F52E2" w:rsidP="00D32BED">
      <w:pPr>
        <w:jc w:val="both"/>
        <w:rPr>
          <w:shd w:val="clear" w:color="auto" w:fill="FFFFFF"/>
          <w:lang w:val="et-EE"/>
        </w:rPr>
      </w:pPr>
      <w:r w:rsidRPr="009F52E2">
        <w:rPr>
          <w:rFonts w:ascii="Times New Roman" w:hAnsi="Times New Roman"/>
          <w:b/>
          <w:bCs/>
          <w:lang w:val="et-EE"/>
        </w:rPr>
        <w:t>IFS § 414</w:t>
      </w:r>
      <w:r w:rsidRPr="009F52E2">
        <w:rPr>
          <w:rFonts w:ascii="Times New Roman" w:hAnsi="Times New Roman"/>
          <w:b/>
          <w:bCs/>
          <w:vertAlign w:val="superscript"/>
          <w:lang w:val="et-EE"/>
        </w:rPr>
        <w:t>1</w:t>
      </w:r>
      <w:r w:rsidRPr="009F52E2">
        <w:rPr>
          <w:rFonts w:ascii="Times New Roman" w:hAnsi="Times New Roman"/>
          <w:b/>
          <w:bCs/>
          <w:lang w:val="et-EE"/>
        </w:rPr>
        <w:t xml:space="preserve"> lõige 6. </w:t>
      </w:r>
      <w:r w:rsidR="00DD114F" w:rsidRPr="00DD114F">
        <w:rPr>
          <w:rFonts w:ascii="Times New Roman" w:hAnsi="Times New Roman"/>
          <w:lang w:val="et-EE"/>
        </w:rPr>
        <w:t xml:space="preserve">Paragrahv reguleerib teise lepinguriigi fondi pakkumise lõpetamist Eestis. </w:t>
      </w:r>
      <w:r w:rsidRPr="00DD114F">
        <w:rPr>
          <w:rFonts w:asciiTheme="majorBidi" w:hAnsiTheme="majorBidi" w:cstheme="majorBidi"/>
          <w:shd w:val="clear" w:color="auto" w:fill="FFFFFF"/>
          <w:lang w:val="et-EE"/>
        </w:rPr>
        <w:t xml:space="preserve">Muudatuse aluseks on </w:t>
      </w:r>
      <w:r w:rsidRPr="00DD114F">
        <w:rPr>
          <w:rStyle w:val="Tugev"/>
          <w:rFonts w:asciiTheme="majorBidi" w:hAnsiTheme="majorBidi" w:cstheme="majorBidi"/>
          <w:b w:val="0"/>
          <w:bCs/>
          <w:bdr w:val="none" w:sz="0" w:space="0" w:color="auto" w:frame="1"/>
          <w:lang w:val="et-EE"/>
        </w:rPr>
        <w:t>direktiivi 2019/1160 artikl</w:t>
      </w:r>
      <w:r w:rsidR="00117DED">
        <w:rPr>
          <w:rStyle w:val="Tugev"/>
          <w:rFonts w:asciiTheme="majorBidi" w:hAnsiTheme="majorBidi" w:cstheme="majorBidi"/>
          <w:b w:val="0"/>
          <w:bCs/>
          <w:bdr w:val="none" w:sz="0" w:space="0" w:color="auto" w:frame="1"/>
          <w:lang w:val="et-EE"/>
        </w:rPr>
        <w:t>i</w:t>
      </w:r>
      <w:r w:rsidRPr="00DD114F">
        <w:rPr>
          <w:rStyle w:val="Tugev"/>
          <w:rFonts w:asciiTheme="majorBidi" w:hAnsiTheme="majorBidi" w:cstheme="majorBidi"/>
          <w:b w:val="0"/>
          <w:bCs/>
          <w:bdr w:val="none" w:sz="0" w:space="0" w:color="auto" w:frame="1"/>
          <w:lang w:val="et-EE"/>
        </w:rPr>
        <w:t xml:space="preserve"> 2</w:t>
      </w:r>
      <w:r w:rsidR="00117DED">
        <w:rPr>
          <w:rStyle w:val="Tugev"/>
          <w:rFonts w:asciiTheme="majorBidi" w:hAnsiTheme="majorBidi" w:cstheme="majorBidi"/>
          <w:b w:val="0"/>
          <w:bCs/>
          <w:bdr w:val="none" w:sz="0" w:space="0" w:color="auto" w:frame="1"/>
          <w:lang w:val="et-EE"/>
        </w:rPr>
        <w:t xml:space="preserve"> lõige</w:t>
      </w:r>
      <w:r w:rsidRPr="00DD114F">
        <w:rPr>
          <w:rStyle w:val="Tugev"/>
          <w:rFonts w:asciiTheme="majorBidi" w:hAnsiTheme="majorBidi" w:cstheme="majorBidi"/>
          <w:b w:val="0"/>
          <w:bCs/>
          <w:bdr w:val="none" w:sz="0" w:space="0" w:color="auto" w:frame="1"/>
          <w:lang w:val="et-EE"/>
        </w:rPr>
        <w:t>4. Muudatusega täpsustatakse direktiivi ülevõtmissätet ja tuuakse</w:t>
      </w:r>
      <w:r w:rsidR="00DD114F" w:rsidRPr="00DD114F">
        <w:rPr>
          <w:rStyle w:val="Tugev"/>
          <w:rFonts w:asciiTheme="majorBidi" w:hAnsiTheme="majorBidi" w:cstheme="majorBidi"/>
          <w:b w:val="0"/>
          <w:bCs/>
          <w:bdr w:val="none" w:sz="0" w:space="0" w:color="auto" w:frame="1"/>
          <w:lang w:val="et-EE"/>
        </w:rPr>
        <w:t xml:space="preserve"> lõikes 6</w:t>
      </w:r>
      <w:r w:rsidRPr="00DD114F">
        <w:rPr>
          <w:rStyle w:val="Tugev"/>
          <w:rFonts w:asciiTheme="majorBidi" w:hAnsiTheme="majorBidi" w:cstheme="majorBidi"/>
          <w:b w:val="0"/>
          <w:bCs/>
          <w:bdr w:val="none" w:sz="0" w:space="0" w:color="auto" w:frame="1"/>
          <w:lang w:val="et-EE"/>
        </w:rPr>
        <w:t xml:space="preserve"> selgesõnaliselt välja, et pärast fondi pakkumise lõpetamist Eestis ei tohi fondivalitseja 36 </w:t>
      </w:r>
      <w:r w:rsidR="00DD114F" w:rsidRPr="00DD114F">
        <w:rPr>
          <w:rStyle w:val="Tugev"/>
          <w:rFonts w:asciiTheme="majorBidi" w:hAnsiTheme="majorBidi" w:cstheme="majorBidi"/>
          <w:b w:val="0"/>
          <w:bCs/>
          <w:bdr w:val="none" w:sz="0" w:space="0" w:color="auto" w:frame="1"/>
          <w:lang w:val="et-EE"/>
        </w:rPr>
        <w:t xml:space="preserve">kuu </w:t>
      </w:r>
      <w:r w:rsidRPr="00DD114F">
        <w:rPr>
          <w:rStyle w:val="Tugev"/>
          <w:rFonts w:asciiTheme="majorBidi" w:hAnsiTheme="majorBidi" w:cstheme="majorBidi"/>
          <w:b w:val="0"/>
          <w:bCs/>
          <w:bdr w:val="none" w:sz="0" w:space="0" w:color="auto" w:frame="1"/>
          <w:lang w:val="et-EE"/>
        </w:rPr>
        <w:t>jooksul Eestis rakendada selle fondiga sarnaseid investeerimisideesid.</w:t>
      </w:r>
    </w:p>
    <w:p w14:paraId="621EE698" w14:textId="77777777" w:rsidR="009F52E2" w:rsidRDefault="009F52E2" w:rsidP="00D32BED">
      <w:pPr>
        <w:jc w:val="both"/>
        <w:rPr>
          <w:rFonts w:ascii="Times New Roman" w:hAnsi="Times New Roman"/>
          <w:lang w:val="et-EE"/>
        </w:rPr>
      </w:pPr>
    </w:p>
    <w:p w14:paraId="7554E5A9" w14:textId="1C1895F3" w:rsidR="00B667CD" w:rsidRPr="00B667CD" w:rsidRDefault="00DC1C0D" w:rsidP="00C40F30">
      <w:pPr>
        <w:jc w:val="both"/>
        <w:rPr>
          <w:rFonts w:ascii="Times New Roman" w:hAnsi="Times New Roman"/>
          <w:lang w:val="et-EE"/>
        </w:rPr>
      </w:pPr>
      <w:r>
        <w:rPr>
          <w:rFonts w:ascii="Times New Roman" w:hAnsi="Times New Roman"/>
          <w:b/>
          <w:bCs/>
          <w:lang w:val="et-EE"/>
        </w:rPr>
        <w:t xml:space="preserve">IFS § </w:t>
      </w:r>
      <w:r w:rsidR="003A45C8" w:rsidRPr="00DC1C0D">
        <w:rPr>
          <w:rFonts w:ascii="Times New Roman" w:hAnsi="Times New Roman"/>
          <w:b/>
          <w:bCs/>
          <w:lang w:val="et-EE"/>
        </w:rPr>
        <w:t>503</w:t>
      </w:r>
      <w:r w:rsidR="003A45C8" w:rsidRPr="00DC1C0D">
        <w:rPr>
          <w:rFonts w:ascii="Times New Roman" w:hAnsi="Times New Roman"/>
          <w:b/>
          <w:bCs/>
          <w:vertAlign w:val="superscript"/>
          <w:lang w:val="et-EE"/>
        </w:rPr>
        <w:t>3</w:t>
      </w:r>
      <w:r w:rsidRPr="00DC1C0D">
        <w:rPr>
          <w:rFonts w:ascii="Times New Roman" w:hAnsi="Times New Roman"/>
          <w:b/>
          <w:bCs/>
          <w:lang w:val="et-EE"/>
        </w:rPr>
        <w:t>.</w:t>
      </w:r>
      <w:r>
        <w:rPr>
          <w:rFonts w:ascii="Times New Roman" w:hAnsi="Times New Roman"/>
          <w:lang w:val="et-EE"/>
        </w:rPr>
        <w:t xml:space="preserve"> </w:t>
      </w:r>
      <w:r w:rsidR="00B667CD">
        <w:rPr>
          <w:rFonts w:ascii="Times New Roman" w:hAnsi="Times New Roman"/>
          <w:lang w:val="et-EE"/>
        </w:rPr>
        <w:t>Paragrahv reguleerib  PEPPi määruse</w:t>
      </w:r>
      <w:r w:rsidR="00B667CD" w:rsidRPr="00B667CD">
        <w:rPr>
          <w:rFonts w:ascii="Times New Roman" w:hAnsi="Times New Roman"/>
          <w:lang w:val="et-EE"/>
        </w:rPr>
        <w:t xml:space="preserve"> nõuete rikkumi</w:t>
      </w:r>
      <w:r w:rsidR="00B667CD">
        <w:rPr>
          <w:rFonts w:ascii="Times New Roman" w:hAnsi="Times New Roman"/>
          <w:lang w:val="et-EE"/>
        </w:rPr>
        <w:t xml:space="preserve">sega kaasnevaid rahatrahve. Rahatrahviga karistatakse PEPPi määruse </w:t>
      </w:r>
      <w:r w:rsidR="00B667CD" w:rsidRPr="00B667CD">
        <w:rPr>
          <w:rFonts w:ascii="Times New Roman" w:hAnsi="Times New Roman"/>
          <w:lang w:val="et-EE"/>
        </w:rPr>
        <w:t>artikli 5 lõikes 1 ning artiklites 6, 7, 18–48, 50 ja 52–56 sätestatud nõuete rikkumise eest</w:t>
      </w:r>
      <w:r w:rsidR="00B667CD">
        <w:rPr>
          <w:rFonts w:ascii="Times New Roman" w:hAnsi="Times New Roman"/>
          <w:lang w:val="et-EE"/>
        </w:rPr>
        <w:t xml:space="preserve">. Normid tuginevad PEPPi määruse artikli </w:t>
      </w:r>
      <w:r w:rsidR="00B667CD" w:rsidRPr="00B667CD">
        <w:rPr>
          <w:rFonts w:ascii="Times New Roman" w:hAnsi="Times New Roman"/>
          <w:lang w:val="et-EE"/>
        </w:rPr>
        <w:t>67 punkt</w:t>
      </w:r>
      <w:r w:rsidR="00B667CD">
        <w:rPr>
          <w:rFonts w:ascii="Times New Roman" w:hAnsi="Times New Roman"/>
          <w:lang w:val="et-EE"/>
        </w:rPr>
        <w:t>ile</w:t>
      </w:r>
      <w:r w:rsidR="00B667CD" w:rsidRPr="00B667CD">
        <w:rPr>
          <w:rFonts w:ascii="Times New Roman" w:hAnsi="Times New Roman"/>
          <w:lang w:val="et-EE"/>
        </w:rPr>
        <w:t xml:space="preserve"> 2</w:t>
      </w:r>
      <w:r w:rsidR="00B667CD">
        <w:rPr>
          <w:rFonts w:ascii="Times New Roman" w:hAnsi="Times New Roman"/>
          <w:lang w:val="et-EE"/>
        </w:rPr>
        <w:t xml:space="preserve">, mille kohaselt tuleb </w:t>
      </w:r>
      <w:r w:rsidR="00B667CD" w:rsidRPr="00B667CD">
        <w:rPr>
          <w:rFonts w:ascii="Times New Roman" w:hAnsi="Times New Roman"/>
          <w:lang w:val="et-EE"/>
        </w:rPr>
        <w:t>liikmesrii</w:t>
      </w:r>
      <w:r w:rsidR="00B667CD">
        <w:rPr>
          <w:rFonts w:ascii="Times New Roman" w:hAnsi="Times New Roman"/>
          <w:lang w:val="et-EE"/>
        </w:rPr>
        <w:t xml:space="preserve">kidel </w:t>
      </w:r>
      <w:r w:rsidR="00B667CD" w:rsidRPr="00B667CD">
        <w:rPr>
          <w:rFonts w:ascii="Times New Roman" w:hAnsi="Times New Roman"/>
          <w:lang w:val="et-EE"/>
        </w:rPr>
        <w:t>ette näh</w:t>
      </w:r>
      <w:r w:rsidR="00B667CD">
        <w:rPr>
          <w:rFonts w:ascii="Times New Roman" w:hAnsi="Times New Roman"/>
          <w:lang w:val="et-EE"/>
        </w:rPr>
        <w:t>a</w:t>
      </w:r>
      <w:r w:rsidR="00B667CD" w:rsidRPr="00B667CD">
        <w:rPr>
          <w:rFonts w:ascii="Times New Roman" w:hAnsi="Times New Roman"/>
          <w:lang w:val="et-EE"/>
        </w:rPr>
        <w:t xml:space="preserve"> karistused ja muud haldusmeetmed juhuks, kui leiab aset mõni </w:t>
      </w:r>
      <w:r w:rsidR="00B667CD">
        <w:rPr>
          <w:rFonts w:ascii="Times New Roman" w:hAnsi="Times New Roman"/>
          <w:lang w:val="et-EE"/>
        </w:rPr>
        <w:t xml:space="preserve">järgmistest </w:t>
      </w:r>
      <w:r w:rsidR="00B667CD" w:rsidRPr="00B667CD">
        <w:rPr>
          <w:rFonts w:ascii="Times New Roman" w:hAnsi="Times New Roman"/>
          <w:lang w:val="et-EE"/>
        </w:rPr>
        <w:t>nõuete rikkumi</w:t>
      </w:r>
      <w:r w:rsidR="00B667CD">
        <w:rPr>
          <w:rFonts w:ascii="Times New Roman" w:hAnsi="Times New Roman"/>
          <w:lang w:val="et-EE"/>
        </w:rPr>
        <w:t>stest</w:t>
      </w:r>
      <w:r w:rsidR="00B667CD" w:rsidRPr="00B667CD">
        <w:rPr>
          <w:rFonts w:ascii="Times New Roman" w:hAnsi="Times New Roman"/>
          <w:lang w:val="et-EE"/>
        </w:rPr>
        <w:t>:</w:t>
      </w:r>
    </w:p>
    <w:p w14:paraId="54FB6D71" w14:textId="388472FD" w:rsidR="00B667CD" w:rsidRPr="0011144D" w:rsidRDefault="00B667CD" w:rsidP="0011144D">
      <w:pPr>
        <w:pStyle w:val="Loendilik"/>
        <w:numPr>
          <w:ilvl w:val="0"/>
          <w:numId w:val="19"/>
        </w:numPr>
        <w:jc w:val="both"/>
        <w:rPr>
          <w:rFonts w:ascii="Times New Roman" w:hAnsi="Times New Roman"/>
          <w:sz w:val="24"/>
          <w:szCs w:val="24"/>
        </w:rPr>
      </w:pPr>
      <w:r w:rsidRPr="0011144D">
        <w:rPr>
          <w:rFonts w:ascii="Times New Roman" w:hAnsi="Times New Roman"/>
          <w:sz w:val="24"/>
          <w:szCs w:val="24"/>
        </w:rPr>
        <w:t>artikli 6 lõikes 1 osutatud finantsettevõtja on saavutanud PEPPi registreerimise vale- või eksitavaid andmeid esitades või mõnel muul ebaausal viisil artikleid 6 ja 7 rikkudes;</w:t>
      </w:r>
    </w:p>
    <w:p w14:paraId="4CA27B5D" w14:textId="0D1FC49D" w:rsidR="00B667CD" w:rsidRPr="0011144D" w:rsidRDefault="00B667CD" w:rsidP="0011144D">
      <w:pPr>
        <w:pStyle w:val="Loendilik"/>
        <w:numPr>
          <w:ilvl w:val="0"/>
          <w:numId w:val="19"/>
        </w:numPr>
        <w:jc w:val="both"/>
        <w:rPr>
          <w:rFonts w:ascii="Times New Roman" w:hAnsi="Times New Roman"/>
          <w:sz w:val="24"/>
          <w:szCs w:val="24"/>
        </w:rPr>
      </w:pPr>
      <w:r w:rsidRPr="0011144D">
        <w:rPr>
          <w:rFonts w:ascii="Times New Roman" w:hAnsi="Times New Roman"/>
          <w:sz w:val="24"/>
          <w:szCs w:val="24"/>
        </w:rPr>
        <w:t>artikli 6 lõikes 1 osutatud finantsettevõtja pakub või levitab tooteid nimetuste „üleeuroopaline personaalne pensionitoode“ või „PEPP“ all, kuigi nimetatud tooted on nõuetekohaselt registreerimata;</w:t>
      </w:r>
    </w:p>
    <w:p w14:paraId="10638D88" w14:textId="751783B4" w:rsidR="00B667CD" w:rsidRPr="0011144D" w:rsidRDefault="00B667CD" w:rsidP="0011144D">
      <w:pPr>
        <w:pStyle w:val="Loendilik"/>
        <w:numPr>
          <w:ilvl w:val="0"/>
          <w:numId w:val="19"/>
        </w:numPr>
        <w:jc w:val="both"/>
        <w:rPr>
          <w:rFonts w:ascii="Times New Roman" w:hAnsi="Times New Roman"/>
          <w:sz w:val="24"/>
          <w:szCs w:val="24"/>
        </w:rPr>
      </w:pPr>
      <w:r w:rsidRPr="0011144D">
        <w:rPr>
          <w:rFonts w:ascii="Times New Roman" w:hAnsi="Times New Roman"/>
          <w:sz w:val="24"/>
          <w:szCs w:val="24"/>
        </w:rPr>
        <w:t>PEPPi pakkuja ei ole artiklit 18 või 19 rikkudes võimaldanud kaasaskantavuse teenust või esitanud artiklite 20 ja 21 kohaselt nõutud teavet selle teenuse kohta või ei ole täitnud IV (so turustamise, klientide teavitamise ja aruandluse nõuded) ja V peatükis (so investeerimispiirangud, põhi-PEPPi pakkumise ja investeerimisvõimaluste muutmise võimaldamist puudutavad nõuded), artiklites 48 (nõuded depositooriumi määramisele) ja 50 (kaebuste lahendamise nõuded) ning VII peatükis (so PEPPi pakkuja vahetamist puudutavad nõuded) sätestatud nõudeid ja kohustusi või</w:t>
      </w:r>
    </w:p>
    <w:p w14:paraId="56395FB7" w14:textId="290FA889" w:rsidR="00B667CD" w:rsidRPr="0011144D" w:rsidRDefault="00B667CD" w:rsidP="0011144D">
      <w:pPr>
        <w:pStyle w:val="Loendilik"/>
        <w:numPr>
          <w:ilvl w:val="0"/>
          <w:numId w:val="19"/>
        </w:numPr>
        <w:jc w:val="both"/>
        <w:rPr>
          <w:rFonts w:ascii="Times New Roman" w:hAnsi="Times New Roman"/>
          <w:sz w:val="24"/>
          <w:szCs w:val="24"/>
        </w:rPr>
      </w:pPr>
      <w:r w:rsidRPr="0011144D">
        <w:rPr>
          <w:rFonts w:ascii="Times New Roman" w:hAnsi="Times New Roman"/>
          <w:sz w:val="24"/>
          <w:szCs w:val="24"/>
        </w:rPr>
        <w:t>depositoorium ei ole täitnud talle artiklist 48 tulenevaid kontrollikohustusi.</w:t>
      </w:r>
    </w:p>
    <w:p w14:paraId="4DDE5846" w14:textId="3BDE7AA6" w:rsidR="003A45C8" w:rsidRPr="003A45C8" w:rsidRDefault="00B667CD" w:rsidP="00C40F30">
      <w:pPr>
        <w:jc w:val="both"/>
        <w:rPr>
          <w:rFonts w:ascii="Times New Roman" w:hAnsi="Times New Roman"/>
          <w:lang w:val="et-EE"/>
        </w:rPr>
      </w:pPr>
      <w:bookmarkStart w:id="5" w:name="_Hlk168494580"/>
      <w:r>
        <w:rPr>
          <w:rFonts w:ascii="Times New Roman" w:hAnsi="Times New Roman"/>
          <w:lang w:val="et-EE"/>
        </w:rPr>
        <w:lastRenderedPageBreak/>
        <w:t xml:space="preserve">Eelnõuga tõstetakse trahvimäärad samal tasemele, nagu seda tehti muude finantssekori </w:t>
      </w:r>
      <w:r w:rsidR="007F6E9D">
        <w:rPr>
          <w:rFonts w:ascii="Times New Roman" w:hAnsi="Times New Roman"/>
          <w:lang w:val="et-EE"/>
        </w:rPr>
        <w:t>väärteokaristuste puhul PEPPi määruse ülevõtmisega samal ajal aset leidnud finantssektori väärteokaristuste reformi käigus (</w:t>
      </w:r>
      <w:r w:rsidRPr="00B667CD">
        <w:rPr>
          <w:rFonts w:ascii="Times New Roman" w:hAnsi="Times New Roman"/>
          <w:lang w:val="et-EE"/>
        </w:rPr>
        <w:t>audiitortegevuse seaduse, finantskriisi ennetamise ja lahendamise seaduse ning teiste seaduste muutmise seadus</w:t>
      </w:r>
      <w:r w:rsidR="007F6E9D">
        <w:rPr>
          <w:rFonts w:ascii="Times New Roman" w:hAnsi="Times New Roman"/>
          <w:lang w:val="et-EE"/>
        </w:rPr>
        <w:t>, mis</w:t>
      </w:r>
      <w:r w:rsidRPr="00B667CD">
        <w:rPr>
          <w:rFonts w:ascii="Times New Roman" w:hAnsi="Times New Roman"/>
          <w:lang w:val="et-EE"/>
        </w:rPr>
        <w:t xml:space="preserve"> jõustu</w:t>
      </w:r>
      <w:r w:rsidR="007F6E9D">
        <w:rPr>
          <w:rFonts w:ascii="Times New Roman" w:hAnsi="Times New Roman"/>
          <w:lang w:val="et-EE"/>
        </w:rPr>
        <w:t>s</w:t>
      </w:r>
      <w:r w:rsidRPr="00B667CD">
        <w:rPr>
          <w:rFonts w:ascii="Times New Roman" w:hAnsi="Times New Roman"/>
          <w:lang w:val="et-EE"/>
        </w:rPr>
        <w:t xml:space="preserve"> 2023. aasta 1. novembril</w:t>
      </w:r>
      <w:r w:rsidR="007F6E9D">
        <w:rPr>
          <w:rFonts w:ascii="Times New Roman" w:hAnsi="Times New Roman"/>
          <w:lang w:val="et-EE"/>
        </w:rPr>
        <w:t>)</w:t>
      </w:r>
      <w:r w:rsidRPr="00B667CD">
        <w:rPr>
          <w:rFonts w:ascii="Times New Roman" w:hAnsi="Times New Roman"/>
          <w:lang w:val="et-EE"/>
        </w:rPr>
        <w:t>.</w:t>
      </w:r>
      <w:r w:rsidR="007F6E9D">
        <w:rPr>
          <w:rFonts w:ascii="Times New Roman" w:hAnsi="Times New Roman"/>
          <w:lang w:val="et-EE"/>
        </w:rPr>
        <w:t xml:space="preserve"> </w:t>
      </w:r>
      <w:bookmarkEnd w:id="5"/>
      <w:r w:rsidR="007F6E9D">
        <w:rPr>
          <w:rFonts w:ascii="Times New Roman" w:hAnsi="Times New Roman"/>
          <w:lang w:val="et-EE"/>
        </w:rPr>
        <w:t xml:space="preserve">Füüsilise isiku </w:t>
      </w:r>
      <w:r w:rsidR="00E4696D">
        <w:rPr>
          <w:rFonts w:ascii="Times New Roman" w:hAnsi="Times New Roman"/>
          <w:lang w:val="et-EE"/>
        </w:rPr>
        <w:t xml:space="preserve">puhul tõuseb rahatrahv 300 trahviühikult </w:t>
      </w:r>
      <w:r w:rsidR="00E4696D" w:rsidRPr="00E4696D">
        <w:rPr>
          <w:rFonts w:ascii="Times New Roman" w:hAnsi="Times New Roman"/>
          <w:lang w:val="et-EE"/>
        </w:rPr>
        <w:t>5 000 000 euro</w:t>
      </w:r>
      <w:r w:rsidR="00E4696D">
        <w:rPr>
          <w:rFonts w:ascii="Times New Roman" w:hAnsi="Times New Roman"/>
          <w:lang w:val="et-EE"/>
        </w:rPr>
        <w:t>le</w:t>
      </w:r>
      <w:r w:rsidR="00E4696D" w:rsidRPr="00E4696D">
        <w:rPr>
          <w:rFonts w:ascii="Times New Roman" w:hAnsi="Times New Roman"/>
          <w:lang w:val="et-EE"/>
        </w:rPr>
        <w:t xml:space="preserve"> või kuni kahekordse</w:t>
      </w:r>
      <w:r w:rsidR="00E4696D">
        <w:rPr>
          <w:rFonts w:ascii="Times New Roman" w:hAnsi="Times New Roman"/>
          <w:lang w:val="et-EE"/>
        </w:rPr>
        <w:t>le</w:t>
      </w:r>
      <w:r w:rsidR="00E4696D" w:rsidRPr="00E4696D">
        <w:rPr>
          <w:rFonts w:ascii="Times New Roman" w:hAnsi="Times New Roman"/>
          <w:lang w:val="et-EE"/>
        </w:rPr>
        <w:t xml:space="preserve"> väärteo tulemusel teenitud kasule või ära hoitud kahjule vastava</w:t>
      </w:r>
      <w:r w:rsidR="00E4696D">
        <w:rPr>
          <w:rFonts w:ascii="Times New Roman" w:hAnsi="Times New Roman"/>
          <w:lang w:val="et-EE"/>
        </w:rPr>
        <w:t>le</w:t>
      </w:r>
      <w:r w:rsidR="00E4696D" w:rsidRPr="00E4696D">
        <w:rPr>
          <w:rFonts w:ascii="Times New Roman" w:hAnsi="Times New Roman"/>
          <w:lang w:val="et-EE"/>
        </w:rPr>
        <w:t xml:space="preserve"> summa</w:t>
      </w:r>
      <w:r w:rsidR="00E4696D">
        <w:rPr>
          <w:rFonts w:ascii="Times New Roman" w:hAnsi="Times New Roman"/>
          <w:lang w:val="et-EE"/>
        </w:rPr>
        <w:t>le. Juriidilise isiku puhul tõuseb trahv 400 000 eurolt</w:t>
      </w:r>
      <w:r w:rsidRPr="00B667CD">
        <w:rPr>
          <w:rFonts w:ascii="Times New Roman" w:hAnsi="Times New Roman"/>
          <w:lang w:val="et-EE"/>
        </w:rPr>
        <w:t xml:space="preserve"> </w:t>
      </w:r>
      <w:r w:rsidR="003A45C8" w:rsidRPr="003A45C8">
        <w:rPr>
          <w:rFonts w:ascii="Times New Roman" w:hAnsi="Times New Roman"/>
          <w:lang w:val="et-EE"/>
        </w:rPr>
        <w:t>5 000 000 euro</w:t>
      </w:r>
      <w:r w:rsidR="00E4696D">
        <w:rPr>
          <w:rFonts w:ascii="Times New Roman" w:hAnsi="Times New Roman"/>
          <w:lang w:val="et-EE"/>
        </w:rPr>
        <w:t>le</w:t>
      </w:r>
      <w:r w:rsidR="003A45C8" w:rsidRPr="003A45C8">
        <w:rPr>
          <w:rFonts w:ascii="Times New Roman" w:hAnsi="Times New Roman"/>
          <w:lang w:val="et-EE"/>
        </w:rPr>
        <w:t xml:space="preserve"> või kuni kahekordse</w:t>
      </w:r>
      <w:r w:rsidR="00E4696D">
        <w:rPr>
          <w:rFonts w:ascii="Times New Roman" w:hAnsi="Times New Roman"/>
          <w:lang w:val="et-EE"/>
        </w:rPr>
        <w:t>le</w:t>
      </w:r>
      <w:r w:rsidR="003A45C8" w:rsidRPr="003A45C8">
        <w:rPr>
          <w:rFonts w:ascii="Times New Roman" w:hAnsi="Times New Roman"/>
          <w:lang w:val="et-EE"/>
        </w:rPr>
        <w:t xml:space="preserve"> väärteo tulemusel teenitud kasule või ära hoitud kahjule vastava</w:t>
      </w:r>
      <w:r w:rsidR="00E4696D">
        <w:rPr>
          <w:rFonts w:ascii="Times New Roman" w:hAnsi="Times New Roman"/>
          <w:lang w:val="et-EE"/>
        </w:rPr>
        <w:t>le</w:t>
      </w:r>
      <w:r w:rsidR="003A45C8" w:rsidRPr="003A45C8">
        <w:rPr>
          <w:rFonts w:ascii="Times New Roman" w:hAnsi="Times New Roman"/>
          <w:lang w:val="et-EE"/>
        </w:rPr>
        <w:t xml:space="preserve"> summa</w:t>
      </w:r>
      <w:r w:rsidR="00E4696D">
        <w:rPr>
          <w:rFonts w:ascii="Times New Roman" w:hAnsi="Times New Roman"/>
          <w:lang w:val="et-EE"/>
        </w:rPr>
        <w:t>le</w:t>
      </w:r>
      <w:r w:rsidR="003A45C8" w:rsidRPr="003A45C8">
        <w:rPr>
          <w:rFonts w:ascii="Times New Roman" w:hAnsi="Times New Roman"/>
          <w:lang w:val="et-EE"/>
        </w:rPr>
        <w:t xml:space="preserve"> või kuni küm</w:t>
      </w:r>
      <w:r w:rsidR="00E4696D">
        <w:rPr>
          <w:rFonts w:ascii="Times New Roman" w:hAnsi="Times New Roman"/>
          <w:lang w:val="et-EE"/>
        </w:rPr>
        <w:t>n</w:t>
      </w:r>
      <w:r w:rsidR="003A45C8" w:rsidRPr="003A45C8">
        <w:rPr>
          <w:rFonts w:ascii="Times New Roman" w:hAnsi="Times New Roman"/>
          <w:lang w:val="et-EE"/>
        </w:rPr>
        <w:t>e</w:t>
      </w:r>
      <w:r w:rsidR="00E4696D">
        <w:rPr>
          <w:rFonts w:ascii="Times New Roman" w:hAnsi="Times New Roman"/>
          <w:lang w:val="et-EE"/>
        </w:rPr>
        <w:t>le</w:t>
      </w:r>
      <w:r w:rsidR="003A45C8" w:rsidRPr="003A45C8">
        <w:rPr>
          <w:rFonts w:ascii="Times New Roman" w:hAnsi="Times New Roman"/>
          <w:lang w:val="et-EE"/>
        </w:rPr>
        <w:t xml:space="preserve"> protsen</w:t>
      </w:r>
      <w:r w:rsidR="00E4696D">
        <w:rPr>
          <w:rFonts w:ascii="Times New Roman" w:hAnsi="Times New Roman"/>
          <w:lang w:val="et-EE"/>
        </w:rPr>
        <w:t>d</w:t>
      </w:r>
      <w:r w:rsidR="003A45C8" w:rsidRPr="003A45C8">
        <w:rPr>
          <w:rFonts w:ascii="Times New Roman" w:hAnsi="Times New Roman"/>
          <w:lang w:val="et-EE"/>
        </w:rPr>
        <w:t>i</w:t>
      </w:r>
      <w:r w:rsidR="00E4696D">
        <w:rPr>
          <w:rFonts w:ascii="Times New Roman" w:hAnsi="Times New Roman"/>
          <w:lang w:val="et-EE"/>
        </w:rPr>
        <w:t>le</w:t>
      </w:r>
      <w:r w:rsidR="003A45C8" w:rsidRPr="003A45C8">
        <w:rPr>
          <w:rFonts w:ascii="Times New Roman" w:hAnsi="Times New Roman"/>
          <w:lang w:val="et-EE"/>
        </w:rPr>
        <w:t xml:space="preserve"> juriidilise isiku või tema konsolideerimisgrupi konsolideeritud käibest. </w:t>
      </w:r>
    </w:p>
    <w:p w14:paraId="65ED4873" w14:textId="77777777" w:rsidR="003A45C8" w:rsidRDefault="003A45C8" w:rsidP="00D32BED">
      <w:pPr>
        <w:jc w:val="both"/>
        <w:rPr>
          <w:rFonts w:ascii="Times New Roman" w:hAnsi="Times New Roman"/>
          <w:lang w:val="et-EE"/>
        </w:rPr>
      </w:pPr>
    </w:p>
    <w:p w14:paraId="2D1F291D" w14:textId="62669ABC" w:rsidR="00BE0C9C" w:rsidRPr="00A37DFB" w:rsidRDefault="00B90DF7" w:rsidP="00BE0C9C">
      <w:pPr>
        <w:jc w:val="both"/>
        <w:rPr>
          <w:rFonts w:ascii="Times New Roman" w:hAnsi="Times New Roman"/>
          <w:lang w:val="et-EE"/>
        </w:rPr>
      </w:pPr>
      <w:r w:rsidRPr="00A37DFB">
        <w:rPr>
          <w:rFonts w:ascii="Times New Roman" w:hAnsi="Times New Roman"/>
          <w:b/>
          <w:bCs/>
          <w:lang w:val="et-EE"/>
        </w:rPr>
        <w:t xml:space="preserve">IFS § </w:t>
      </w:r>
      <w:r w:rsidR="00BE0C9C" w:rsidRPr="00A37DFB">
        <w:rPr>
          <w:rFonts w:ascii="Times New Roman" w:hAnsi="Times New Roman"/>
          <w:b/>
          <w:bCs/>
          <w:lang w:val="et-EE"/>
        </w:rPr>
        <w:t>513</w:t>
      </w:r>
      <w:r w:rsidR="00BE0C9C" w:rsidRPr="00A37DFB">
        <w:rPr>
          <w:rFonts w:ascii="Times New Roman" w:hAnsi="Times New Roman"/>
          <w:b/>
          <w:bCs/>
          <w:vertAlign w:val="superscript"/>
          <w:lang w:val="et-EE"/>
        </w:rPr>
        <w:t>2</w:t>
      </w:r>
      <w:r w:rsidRPr="00A37DFB">
        <w:rPr>
          <w:rFonts w:ascii="Times New Roman" w:hAnsi="Times New Roman"/>
          <w:b/>
          <w:bCs/>
          <w:lang w:val="et-EE"/>
        </w:rPr>
        <w:t>.</w:t>
      </w:r>
      <w:r w:rsidRPr="00A37DFB">
        <w:rPr>
          <w:rFonts w:ascii="Times New Roman" w:hAnsi="Times New Roman"/>
          <w:lang w:val="et-EE"/>
        </w:rPr>
        <w:t xml:space="preserve"> Eelnõuga tunnistatakse paragrahv kehtetuks ning selle sisu taasesitatakse §-s 514. </w:t>
      </w:r>
    </w:p>
    <w:p w14:paraId="1F78FEF3" w14:textId="77777777" w:rsidR="00BE0C9C" w:rsidRPr="00A37DFB" w:rsidRDefault="00BE0C9C" w:rsidP="00BE0C9C">
      <w:pPr>
        <w:jc w:val="both"/>
        <w:rPr>
          <w:rFonts w:ascii="Times New Roman" w:hAnsi="Times New Roman"/>
          <w:lang w:val="et-EE"/>
        </w:rPr>
      </w:pPr>
    </w:p>
    <w:p w14:paraId="6AC650E7" w14:textId="0C996BAC" w:rsidR="0098556C" w:rsidRPr="0098556C" w:rsidRDefault="00B90DF7" w:rsidP="00BE0C9C">
      <w:pPr>
        <w:jc w:val="both"/>
        <w:rPr>
          <w:rFonts w:ascii="Times New Roman" w:hAnsi="Times New Roman"/>
          <w:lang w:val="et-EE"/>
        </w:rPr>
      </w:pPr>
      <w:r>
        <w:rPr>
          <w:rFonts w:ascii="Times New Roman" w:hAnsi="Times New Roman"/>
          <w:b/>
          <w:bCs/>
          <w:lang w:val="et-EE"/>
        </w:rPr>
        <w:t xml:space="preserve">IFS </w:t>
      </w:r>
      <w:r w:rsidRPr="00B90DF7">
        <w:rPr>
          <w:rFonts w:ascii="Times New Roman" w:hAnsi="Times New Roman"/>
          <w:b/>
          <w:bCs/>
          <w:lang w:val="et-EE"/>
        </w:rPr>
        <w:t xml:space="preserve">§ </w:t>
      </w:r>
      <w:r w:rsidR="00BE0C9C" w:rsidRPr="00A37DFB">
        <w:rPr>
          <w:rFonts w:ascii="Times New Roman" w:hAnsi="Times New Roman"/>
          <w:b/>
          <w:bCs/>
          <w:lang w:val="et-EE"/>
        </w:rPr>
        <w:t>514</w:t>
      </w:r>
      <w:r w:rsidRPr="00A37DFB">
        <w:rPr>
          <w:rFonts w:ascii="Times New Roman" w:hAnsi="Times New Roman"/>
          <w:b/>
          <w:bCs/>
          <w:lang w:val="et-EE"/>
        </w:rPr>
        <w:t>.</w:t>
      </w:r>
      <w:r>
        <w:rPr>
          <w:rFonts w:ascii="Times New Roman" w:hAnsi="Times New Roman"/>
          <w:lang w:val="et-EE"/>
        </w:rPr>
        <w:t xml:space="preserve"> </w:t>
      </w:r>
      <w:r w:rsidR="00BE0C9C" w:rsidRPr="00A37DFB">
        <w:rPr>
          <w:rFonts w:ascii="Times New Roman" w:hAnsi="Times New Roman"/>
          <w:lang w:val="et-EE"/>
        </w:rPr>
        <w:t xml:space="preserve"> </w:t>
      </w:r>
      <w:r w:rsidR="0098556C">
        <w:rPr>
          <w:rFonts w:ascii="Times New Roman" w:hAnsi="Times New Roman"/>
          <w:lang w:val="et-EE"/>
        </w:rPr>
        <w:t>Paragrahvis on sätestatud, et IFS-s</w:t>
      </w:r>
      <w:r w:rsidR="0098556C" w:rsidRPr="0098556C">
        <w:rPr>
          <w:rFonts w:ascii="Times New Roman" w:hAnsi="Times New Roman"/>
          <w:lang w:val="et-EE"/>
        </w:rPr>
        <w:t xml:space="preserve"> sätestatud väärtegude kohtuväli</w:t>
      </w:r>
      <w:r w:rsidR="0098556C">
        <w:rPr>
          <w:rFonts w:ascii="Times New Roman" w:hAnsi="Times New Roman"/>
          <w:lang w:val="et-EE"/>
        </w:rPr>
        <w:t>s</w:t>
      </w:r>
      <w:r w:rsidR="0098556C" w:rsidRPr="0098556C">
        <w:rPr>
          <w:rFonts w:ascii="Times New Roman" w:hAnsi="Times New Roman"/>
          <w:lang w:val="et-EE"/>
        </w:rPr>
        <w:t>e</w:t>
      </w:r>
      <w:r w:rsidR="0098556C">
        <w:rPr>
          <w:rFonts w:ascii="Times New Roman" w:hAnsi="Times New Roman"/>
          <w:lang w:val="et-EE"/>
        </w:rPr>
        <w:t>ks</w:t>
      </w:r>
      <w:r w:rsidR="0098556C" w:rsidRPr="0098556C">
        <w:rPr>
          <w:rFonts w:ascii="Times New Roman" w:hAnsi="Times New Roman"/>
          <w:lang w:val="et-EE"/>
        </w:rPr>
        <w:t xml:space="preserve"> menetleja</w:t>
      </w:r>
      <w:r w:rsidR="0098556C">
        <w:rPr>
          <w:rFonts w:ascii="Times New Roman" w:hAnsi="Times New Roman"/>
          <w:lang w:val="et-EE"/>
        </w:rPr>
        <w:t>ks</w:t>
      </w:r>
      <w:r w:rsidR="0098556C" w:rsidRPr="0098556C">
        <w:rPr>
          <w:rFonts w:ascii="Times New Roman" w:hAnsi="Times New Roman"/>
          <w:lang w:val="et-EE"/>
        </w:rPr>
        <w:t xml:space="preserve"> on Finantsinspektsioon.</w:t>
      </w:r>
      <w:r w:rsidR="0098556C">
        <w:rPr>
          <w:rFonts w:ascii="Times New Roman" w:hAnsi="Times New Roman"/>
          <w:lang w:val="et-EE"/>
        </w:rPr>
        <w:t xml:space="preserve"> Eelnõuga tuuakse §-s 513</w:t>
      </w:r>
      <w:r w:rsidR="0098556C">
        <w:rPr>
          <w:rFonts w:ascii="Times New Roman" w:hAnsi="Times New Roman"/>
          <w:vertAlign w:val="superscript"/>
          <w:lang w:val="et-EE"/>
        </w:rPr>
        <w:t>2</w:t>
      </w:r>
      <w:r w:rsidR="0098556C">
        <w:rPr>
          <w:rFonts w:ascii="Times New Roman" w:hAnsi="Times New Roman"/>
          <w:lang w:val="et-EE"/>
        </w:rPr>
        <w:t xml:space="preserve"> sätestatud väärtegude aegumistähtaeg § 514 lõikeks 2 ja muudetakse seetõttu ka paragrahvi pealkirja. Sisulisi muudatusi neis normides ei tehta – väärtegude kohtuväliseks menetlejaks jääb endiselt Finantsinspektsioon ja aegumistähtajaks kolm aastat. Lõikes 1 täpsustatakse üksnes, et mõeldud on IFS 31. peatükis sätestatud väärtegusid. </w:t>
      </w:r>
    </w:p>
    <w:p w14:paraId="1F7BF8DC" w14:textId="77777777" w:rsidR="00BE0C9C" w:rsidRDefault="00BE0C9C" w:rsidP="00D32BED">
      <w:pPr>
        <w:jc w:val="both"/>
        <w:rPr>
          <w:rFonts w:ascii="Times New Roman" w:hAnsi="Times New Roman"/>
          <w:lang w:val="et-EE"/>
        </w:rPr>
      </w:pPr>
    </w:p>
    <w:p w14:paraId="3B73EDD3" w14:textId="5544F229" w:rsidR="00D57133" w:rsidRPr="00D57133" w:rsidRDefault="00D57133" w:rsidP="00D57133">
      <w:pPr>
        <w:jc w:val="both"/>
        <w:rPr>
          <w:rFonts w:ascii="Times New Roman" w:hAnsi="Times New Roman"/>
          <w:lang w:val="et-EE"/>
        </w:rPr>
      </w:pPr>
      <w:r w:rsidRPr="00D57133">
        <w:rPr>
          <w:rFonts w:ascii="Times New Roman" w:hAnsi="Times New Roman"/>
          <w:lang w:val="et-EE"/>
        </w:rPr>
        <w:t>Finantssektori väärtegude kolmeaastased aegumistähtajad nähti ette finantsvaldkonna väärteokaristuste reformi raames. Paralleelselt menetleti JuM-i vastutusvaldkonda kuuluvat karistusseadustiku muutmise ja sellega seonduvalt teiste seaduste muutmise seadust (Euroopa Liidu õigusest tulenevad rahatrahvid), mille seletuskirjas on selgitatud, et</w:t>
      </w:r>
      <w:r>
        <w:rPr>
          <w:rFonts w:ascii="Times New Roman" w:hAnsi="Times New Roman"/>
          <w:lang w:val="et-EE"/>
        </w:rPr>
        <w:t>:</w:t>
      </w:r>
      <w:r w:rsidRPr="00D57133">
        <w:rPr>
          <w:rFonts w:ascii="Times New Roman" w:hAnsi="Times New Roman"/>
          <w:lang w:val="et-EE"/>
        </w:rPr>
        <w:t xml:space="preserve"> „</w:t>
      </w:r>
      <w:r>
        <w:rPr>
          <w:rFonts w:ascii="Times New Roman" w:hAnsi="Times New Roman"/>
          <w:lang w:val="et-EE"/>
        </w:rPr>
        <w:t>V</w:t>
      </w:r>
      <w:r w:rsidRPr="00D57133">
        <w:rPr>
          <w:rFonts w:ascii="Times New Roman" w:hAnsi="Times New Roman"/>
          <w:lang w:val="et-EE"/>
        </w:rPr>
        <w:t xml:space="preserve">äljatöötamiskavatsuse kooskõlastamisel avaldati arvamust, et kõrgema rahatrahvi ülemmääraga karistatavate väärtegude korral tuleks sätestada senisest pikem aegumistähtaeg. Eelnõu koostamisel leiti algselt, et kuna kehtiv õigus võimaldab teatud väärtegude korral sätestada kaheaastase aegumistähtaja asemel kolmeaastase aegumistähtaja (KarS § 81 lg 3) ning suurema ebaõigussisuga teise astme kuritegu aegub viie aastaga (KarS § 81 lg 1 p 2), ei ole praegu erisuse loomine vajalik. Sellegipoolest leiti ka eelnõu kooskõlastamisel esitatud arvamustes jätkuvalt, et väärtegude üldine aegumistähtaeg ei võimalda finants- ja andmekaitse valdkonnas väärteomenetlusi tõhusalt läbi viia, arvestades nendes valdkondades toime pandavate väärtegude keerukust“. </w:t>
      </w:r>
    </w:p>
    <w:p w14:paraId="6977983C" w14:textId="77777777" w:rsidR="00D57133" w:rsidRPr="00D57133" w:rsidRDefault="00D57133" w:rsidP="00D57133">
      <w:pPr>
        <w:jc w:val="both"/>
        <w:rPr>
          <w:rFonts w:ascii="Times New Roman" w:hAnsi="Times New Roman"/>
          <w:lang w:val="et-EE"/>
        </w:rPr>
      </w:pPr>
    </w:p>
    <w:p w14:paraId="7600C65A" w14:textId="25ADE837" w:rsidR="00D57133" w:rsidRDefault="00D57133" w:rsidP="00D57133">
      <w:pPr>
        <w:jc w:val="both"/>
        <w:rPr>
          <w:rFonts w:ascii="Times New Roman" w:hAnsi="Times New Roman"/>
          <w:lang w:val="et-EE"/>
        </w:rPr>
      </w:pPr>
      <w:r w:rsidRPr="00D57133">
        <w:rPr>
          <w:rFonts w:ascii="Times New Roman" w:hAnsi="Times New Roman"/>
          <w:lang w:val="et-EE"/>
        </w:rPr>
        <w:t>Finantsvaldkonnas võib olla tegemist väga keeruliste kaasustega, mis on tavaliselt nn peitsüüteod (nagu näiteks ka maksustamise valdkonna süüteod), s.t rikkumise toimepanemise asjaolud ei ole kergelt märgatavad, kannatanut ei ole või tema isik ei ole teada ja süüteo toimepannud isik teeb kõik endast oleneva, et järelevalveasutus ei avastaks rikkumist.</w:t>
      </w:r>
      <w:r>
        <w:rPr>
          <w:rFonts w:ascii="Times New Roman" w:hAnsi="Times New Roman"/>
          <w:lang w:val="et-EE"/>
        </w:rPr>
        <w:t xml:space="preserve"> Sellest lähtuvalt on kehtestatud kolmeaastased aegumistähtajad, mida ei ole käesoleval hetkel ka põhjust muuta.</w:t>
      </w:r>
    </w:p>
    <w:p w14:paraId="4015D9D1" w14:textId="77777777" w:rsidR="00BE0C9C" w:rsidRDefault="00BE0C9C" w:rsidP="00D32BED">
      <w:pPr>
        <w:jc w:val="both"/>
        <w:rPr>
          <w:rFonts w:ascii="Times New Roman" w:hAnsi="Times New Roman"/>
          <w:lang w:val="et-EE"/>
        </w:rPr>
      </w:pPr>
    </w:p>
    <w:p w14:paraId="5B2116FF" w14:textId="10793055" w:rsidR="003A45C8" w:rsidRPr="003A45C8" w:rsidRDefault="00E4696D" w:rsidP="00D32BED">
      <w:pPr>
        <w:jc w:val="both"/>
        <w:rPr>
          <w:rFonts w:ascii="Times New Roman" w:hAnsi="Times New Roman"/>
          <w:lang w:val="et-EE"/>
        </w:rPr>
      </w:pPr>
      <w:r w:rsidRPr="00E4696D">
        <w:rPr>
          <w:rFonts w:ascii="Times New Roman" w:hAnsi="Times New Roman"/>
          <w:b/>
          <w:bCs/>
          <w:lang w:val="et-EE"/>
        </w:rPr>
        <w:t>IFS-i täiendamine normitehnilise märkusega.</w:t>
      </w:r>
      <w:r>
        <w:rPr>
          <w:rFonts w:ascii="Times New Roman" w:hAnsi="Times New Roman"/>
          <w:lang w:val="et-EE"/>
        </w:rPr>
        <w:t xml:space="preserve"> Eelnõuga lisatakse IFS-le normitehnili</w:t>
      </w:r>
      <w:r w:rsidR="000D7967">
        <w:rPr>
          <w:rFonts w:ascii="Times New Roman" w:hAnsi="Times New Roman"/>
          <w:lang w:val="et-EE"/>
        </w:rPr>
        <w:t>ne</w:t>
      </w:r>
      <w:r>
        <w:rPr>
          <w:rFonts w:ascii="Times New Roman" w:hAnsi="Times New Roman"/>
          <w:lang w:val="et-EE"/>
        </w:rPr>
        <w:t xml:space="preserve"> märkus, mis on jäänud direktiivi rakendamisel seadusesse varasemalt ekslikult lisamata. IFS-ga on üle võetud k</w:t>
      </w:r>
      <w:r w:rsidRPr="003A45C8">
        <w:rPr>
          <w:rFonts w:ascii="Times New Roman" w:hAnsi="Times New Roman"/>
          <w:lang w:val="et-EE"/>
        </w:rPr>
        <w:t>omisjoni delegeeritud direktiiv (EL) 2021/1270, millega muudetakse direktiivi 2010/43/EL seoses jätkusuutlikkusriskide ja -teguritega, millega vabalt võõrandatavatesse väärtpaberitesse ühiseks investeerimiseks loodud ettevõtjad (eurofondid) peavad arvestama (ELT L 277, 2.8.2021, lk 141–144)</w:t>
      </w:r>
      <w:r>
        <w:rPr>
          <w:rFonts w:ascii="Times New Roman" w:hAnsi="Times New Roman"/>
          <w:lang w:val="et-EE"/>
        </w:rPr>
        <w:t>.</w:t>
      </w:r>
    </w:p>
    <w:p w14:paraId="1F7C2D80" w14:textId="77777777" w:rsidR="003A45C8" w:rsidRPr="003A45C8" w:rsidRDefault="003A45C8" w:rsidP="00D32BED">
      <w:pPr>
        <w:jc w:val="both"/>
        <w:rPr>
          <w:rFonts w:ascii="Times New Roman" w:hAnsi="Times New Roman"/>
          <w:lang w:val="et-EE"/>
        </w:rPr>
      </w:pPr>
    </w:p>
    <w:p w14:paraId="59CBA801" w14:textId="59D20812" w:rsidR="00E4696D" w:rsidRPr="00E4696D" w:rsidRDefault="00E4696D" w:rsidP="00D32BED">
      <w:pPr>
        <w:jc w:val="both"/>
        <w:rPr>
          <w:rFonts w:ascii="Times New Roman" w:hAnsi="Times New Roman"/>
          <w:b/>
          <w:bCs/>
          <w:lang w:val="et-EE"/>
        </w:rPr>
      </w:pPr>
      <w:r>
        <w:rPr>
          <w:rFonts w:ascii="Times New Roman" w:hAnsi="Times New Roman"/>
          <w:b/>
          <w:bCs/>
          <w:lang w:val="et-EE"/>
        </w:rPr>
        <w:t xml:space="preserve">3.3. Eelnõu </w:t>
      </w:r>
      <w:r w:rsidRPr="00E4696D">
        <w:rPr>
          <w:rFonts w:ascii="Times New Roman" w:hAnsi="Times New Roman"/>
          <w:b/>
          <w:bCs/>
          <w:lang w:val="et-EE"/>
        </w:rPr>
        <w:t>§ 3</w:t>
      </w:r>
      <w:r>
        <w:rPr>
          <w:rFonts w:ascii="Times New Roman" w:hAnsi="Times New Roman"/>
          <w:b/>
          <w:bCs/>
          <w:lang w:val="et-EE"/>
        </w:rPr>
        <w:t xml:space="preserve"> –</w:t>
      </w:r>
      <w:r w:rsidRPr="00E4696D">
        <w:rPr>
          <w:rFonts w:ascii="Times New Roman" w:hAnsi="Times New Roman"/>
          <w:b/>
          <w:bCs/>
          <w:lang w:val="et-EE"/>
        </w:rPr>
        <w:t xml:space="preserve"> </w:t>
      </w:r>
      <w:r>
        <w:rPr>
          <w:rFonts w:ascii="Times New Roman" w:hAnsi="Times New Roman"/>
          <w:b/>
          <w:bCs/>
          <w:lang w:val="et-EE"/>
        </w:rPr>
        <w:t>k</w:t>
      </w:r>
      <w:r w:rsidRPr="00E4696D">
        <w:rPr>
          <w:rFonts w:ascii="Times New Roman" w:hAnsi="Times New Roman"/>
          <w:b/>
          <w:bCs/>
          <w:lang w:val="et-EE"/>
        </w:rPr>
        <w:t>indlustustegevuse seaduse muutmine</w:t>
      </w:r>
    </w:p>
    <w:p w14:paraId="2BE4C9AB" w14:textId="574F4E2A" w:rsidR="009D2C09" w:rsidRDefault="005D24A1" w:rsidP="00D32BED">
      <w:pPr>
        <w:jc w:val="both"/>
        <w:rPr>
          <w:rFonts w:ascii="Times New Roman" w:hAnsi="Times New Roman"/>
          <w:lang w:val="et-EE"/>
        </w:rPr>
      </w:pPr>
      <w:r w:rsidRPr="00142C65">
        <w:rPr>
          <w:rFonts w:ascii="Times New Roman" w:hAnsi="Times New Roman"/>
          <w:b/>
          <w:bCs/>
          <w:lang w:val="et-EE"/>
        </w:rPr>
        <w:t>KindlTS § 263</w:t>
      </w:r>
      <w:r w:rsidRPr="00142C65">
        <w:rPr>
          <w:rFonts w:ascii="Times New Roman" w:hAnsi="Times New Roman"/>
          <w:b/>
          <w:bCs/>
          <w:vertAlign w:val="superscript"/>
          <w:lang w:val="et-EE"/>
        </w:rPr>
        <w:t>2</w:t>
      </w:r>
      <w:r w:rsidR="00D57133" w:rsidRPr="00142C65">
        <w:rPr>
          <w:rFonts w:ascii="Times New Roman" w:hAnsi="Times New Roman"/>
          <w:b/>
          <w:bCs/>
          <w:lang w:val="et-EE"/>
        </w:rPr>
        <w:t>.</w:t>
      </w:r>
      <w:r w:rsidR="00D57133">
        <w:rPr>
          <w:rFonts w:ascii="Times New Roman" w:hAnsi="Times New Roman"/>
          <w:lang w:val="et-EE"/>
        </w:rPr>
        <w:t xml:space="preserve"> Eelnõuga muudetakse §-s 263</w:t>
      </w:r>
      <w:r w:rsidR="00D57133">
        <w:rPr>
          <w:rFonts w:ascii="Times New Roman" w:hAnsi="Times New Roman"/>
          <w:vertAlign w:val="superscript"/>
          <w:lang w:val="et-EE"/>
        </w:rPr>
        <w:t>2</w:t>
      </w:r>
      <w:r w:rsidR="00D57133">
        <w:rPr>
          <w:rFonts w:ascii="Times New Roman" w:hAnsi="Times New Roman"/>
          <w:lang w:val="et-EE"/>
        </w:rPr>
        <w:t xml:space="preserve"> </w:t>
      </w:r>
      <w:r>
        <w:rPr>
          <w:rFonts w:ascii="Times New Roman" w:hAnsi="Times New Roman"/>
          <w:lang w:val="et-EE"/>
        </w:rPr>
        <w:t>sätestatud väärteokaristuste piirmäärasid</w:t>
      </w:r>
      <w:r w:rsidR="00D57133">
        <w:rPr>
          <w:rFonts w:ascii="Times New Roman" w:hAnsi="Times New Roman"/>
          <w:lang w:val="et-EE"/>
        </w:rPr>
        <w:t>, mis kaasnevad</w:t>
      </w:r>
      <w:r w:rsidR="009D2C09">
        <w:rPr>
          <w:rFonts w:ascii="Times New Roman" w:hAnsi="Times New Roman"/>
          <w:lang w:val="et-EE"/>
        </w:rPr>
        <w:t xml:space="preserve"> PEPPi määruse</w:t>
      </w:r>
      <w:r w:rsidR="009D2C09" w:rsidRPr="00B667CD">
        <w:rPr>
          <w:rFonts w:ascii="Times New Roman" w:hAnsi="Times New Roman"/>
          <w:lang w:val="et-EE"/>
        </w:rPr>
        <w:t xml:space="preserve"> nõuete rikkumi</w:t>
      </w:r>
      <w:r w:rsidR="009D2C09">
        <w:rPr>
          <w:rFonts w:ascii="Times New Roman" w:hAnsi="Times New Roman"/>
          <w:lang w:val="et-EE"/>
        </w:rPr>
        <w:t xml:space="preserve">sega. Rahatrahviga karistatakse PEPPi määruse </w:t>
      </w:r>
      <w:r w:rsidR="009D2C09" w:rsidRPr="00B667CD">
        <w:rPr>
          <w:rFonts w:ascii="Times New Roman" w:hAnsi="Times New Roman"/>
          <w:lang w:val="et-EE"/>
        </w:rPr>
        <w:t>artikli 5 lõikes 1 ning artiklites 6, 7, 18–4</w:t>
      </w:r>
      <w:r w:rsidR="009D2C09">
        <w:rPr>
          <w:rFonts w:ascii="Times New Roman" w:hAnsi="Times New Roman"/>
          <w:lang w:val="et-EE"/>
        </w:rPr>
        <w:t>7 ja</w:t>
      </w:r>
      <w:r w:rsidR="009D2C09" w:rsidRPr="00B667CD">
        <w:rPr>
          <w:rFonts w:ascii="Times New Roman" w:hAnsi="Times New Roman"/>
          <w:lang w:val="et-EE"/>
        </w:rPr>
        <w:t xml:space="preserve"> 52–56 sätestatud nõuete rikkumise eest</w:t>
      </w:r>
      <w:r w:rsidR="009D2C09">
        <w:rPr>
          <w:rFonts w:ascii="Times New Roman" w:hAnsi="Times New Roman"/>
          <w:lang w:val="et-EE"/>
        </w:rPr>
        <w:t xml:space="preserve">. Normid tuginevad PEPPi määruse artikli </w:t>
      </w:r>
      <w:r w:rsidR="009D2C09" w:rsidRPr="00B667CD">
        <w:rPr>
          <w:rFonts w:ascii="Times New Roman" w:hAnsi="Times New Roman"/>
          <w:lang w:val="et-EE"/>
        </w:rPr>
        <w:t>67 punkt</w:t>
      </w:r>
      <w:r w:rsidR="009D2C09">
        <w:rPr>
          <w:rFonts w:ascii="Times New Roman" w:hAnsi="Times New Roman"/>
          <w:lang w:val="et-EE"/>
        </w:rPr>
        <w:t>ile</w:t>
      </w:r>
      <w:r w:rsidR="009D2C09" w:rsidRPr="00B667CD">
        <w:rPr>
          <w:rFonts w:ascii="Times New Roman" w:hAnsi="Times New Roman"/>
          <w:lang w:val="et-EE"/>
        </w:rPr>
        <w:t xml:space="preserve"> 2</w:t>
      </w:r>
      <w:r w:rsidR="009D2C09">
        <w:rPr>
          <w:rFonts w:ascii="Times New Roman" w:hAnsi="Times New Roman"/>
          <w:lang w:val="et-EE"/>
        </w:rPr>
        <w:t xml:space="preserve">, mille kohaselt tuleb </w:t>
      </w:r>
      <w:r w:rsidR="009D2C09" w:rsidRPr="00B667CD">
        <w:rPr>
          <w:rFonts w:ascii="Times New Roman" w:hAnsi="Times New Roman"/>
          <w:lang w:val="et-EE"/>
        </w:rPr>
        <w:t>liikmesrii</w:t>
      </w:r>
      <w:r w:rsidR="009D2C09">
        <w:rPr>
          <w:rFonts w:ascii="Times New Roman" w:hAnsi="Times New Roman"/>
          <w:lang w:val="et-EE"/>
        </w:rPr>
        <w:t xml:space="preserve">kidel </w:t>
      </w:r>
      <w:r w:rsidR="009D2C09" w:rsidRPr="00B667CD">
        <w:rPr>
          <w:rFonts w:ascii="Times New Roman" w:hAnsi="Times New Roman"/>
          <w:lang w:val="et-EE"/>
        </w:rPr>
        <w:t>ette näh</w:t>
      </w:r>
      <w:r w:rsidR="009D2C09">
        <w:rPr>
          <w:rFonts w:ascii="Times New Roman" w:hAnsi="Times New Roman"/>
          <w:lang w:val="et-EE"/>
        </w:rPr>
        <w:t>a</w:t>
      </w:r>
      <w:r w:rsidR="009D2C09" w:rsidRPr="00B667CD">
        <w:rPr>
          <w:rFonts w:ascii="Times New Roman" w:hAnsi="Times New Roman"/>
          <w:lang w:val="et-EE"/>
        </w:rPr>
        <w:t xml:space="preserve"> </w:t>
      </w:r>
      <w:r w:rsidR="009D2C09" w:rsidRPr="00B667CD">
        <w:rPr>
          <w:rFonts w:ascii="Times New Roman" w:hAnsi="Times New Roman"/>
          <w:lang w:val="et-EE"/>
        </w:rPr>
        <w:lastRenderedPageBreak/>
        <w:t>karistused ja muud haldusmeetmed</w:t>
      </w:r>
      <w:r w:rsidR="009D2C09">
        <w:rPr>
          <w:rFonts w:ascii="Times New Roman" w:hAnsi="Times New Roman"/>
          <w:lang w:val="et-EE"/>
        </w:rPr>
        <w:t xml:space="preserve">, ja arvestavad millised </w:t>
      </w:r>
      <w:r w:rsidR="00D36564">
        <w:rPr>
          <w:rFonts w:ascii="Times New Roman" w:hAnsi="Times New Roman"/>
          <w:lang w:val="et-EE"/>
        </w:rPr>
        <w:t>määruses</w:t>
      </w:r>
      <w:r w:rsidR="009D2C09">
        <w:rPr>
          <w:rFonts w:ascii="Times New Roman" w:hAnsi="Times New Roman"/>
          <w:lang w:val="et-EE"/>
        </w:rPr>
        <w:t xml:space="preserve"> viidatud nõuetest kindlustusandjale või -vahendajale kohalduvad. Eelnõuga tõstetakse trahvimäärad samal tasemele, nagu seda tehti muude finantssekori väärteokaristuste puhul PEPPi määruse ülevõtmisega samal ajal aset leidnud finantssektori väärteokaristuste reformi käigus (</w:t>
      </w:r>
      <w:r w:rsidR="009D2C09" w:rsidRPr="00B667CD">
        <w:rPr>
          <w:rFonts w:ascii="Times New Roman" w:hAnsi="Times New Roman"/>
          <w:lang w:val="et-EE"/>
        </w:rPr>
        <w:t>audiitortegevuse seaduse, finantskriisi ennetamise ja lahendamise seaduse ning teiste seaduste muutmise seadus</w:t>
      </w:r>
      <w:r w:rsidR="009D2C09">
        <w:rPr>
          <w:rFonts w:ascii="Times New Roman" w:hAnsi="Times New Roman"/>
          <w:lang w:val="et-EE"/>
        </w:rPr>
        <w:t>, mis</w:t>
      </w:r>
      <w:r w:rsidR="009D2C09" w:rsidRPr="00B667CD">
        <w:rPr>
          <w:rFonts w:ascii="Times New Roman" w:hAnsi="Times New Roman"/>
          <w:lang w:val="et-EE"/>
        </w:rPr>
        <w:t xml:space="preserve"> jõustu</w:t>
      </w:r>
      <w:r w:rsidR="009D2C09">
        <w:rPr>
          <w:rFonts w:ascii="Times New Roman" w:hAnsi="Times New Roman"/>
          <w:lang w:val="et-EE"/>
        </w:rPr>
        <w:t>s</w:t>
      </w:r>
      <w:r w:rsidR="009D2C09" w:rsidRPr="00B667CD">
        <w:rPr>
          <w:rFonts w:ascii="Times New Roman" w:hAnsi="Times New Roman"/>
          <w:lang w:val="et-EE"/>
        </w:rPr>
        <w:t xml:space="preserve"> 2023. aasta 1. novembril</w:t>
      </w:r>
      <w:r w:rsidR="009D2C09">
        <w:rPr>
          <w:rFonts w:ascii="Times New Roman" w:hAnsi="Times New Roman"/>
          <w:lang w:val="et-EE"/>
        </w:rPr>
        <w:t xml:space="preserve">). Rahatrahvi piirmäärad tõusevad nii füüsilise kui juriidilise isiku puhul </w:t>
      </w:r>
      <w:r w:rsidR="009D2C09" w:rsidRPr="00E4696D">
        <w:rPr>
          <w:rFonts w:ascii="Times New Roman" w:hAnsi="Times New Roman"/>
          <w:lang w:val="et-EE"/>
        </w:rPr>
        <w:t>5 000 000 euro</w:t>
      </w:r>
      <w:r w:rsidR="009D2C09">
        <w:rPr>
          <w:rFonts w:ascii="Times New Roman" w:hAnsi="Times New Roman"/>
          <w:lang w:val="et-EE"/>
        </w:rPr>
        <w:t>le</w:t>
      </w:r>
      <w:r w:rsidR="009D2C09" w:rsidRPr="00E4696D">
        <w:rPr>
          <w:rFonts w:ascii="Times New Roman" w:hAnsi="Times New Roman"/>
          <w:lang w:val="et-EE"/>
        </w:rPr>
        <w:t xml:space="preserve"> või kuni kahekordse</w:t>
      </w:r>
      <w:r w:rsidR="009D2C09">
        <w:rPr>
          <w:rFonts w:ascii="Times New Roman" w:hAnsi="Times New Roman"/>
          <w:lang w:val="et-EE"/>
        </w:rPr>
        <w:t>le</w:t>
      </w:r>
      <w:r w:rsidR="009D2C09" w:rsidRPr="00E4696D">
        <w:rPr>
          <w:rFonts w:ascii="Times New Roman" w:hAnsi="Times New Roman"/>
          <w:lang w:val="et-EE"/>
        </w:rPr>
        <w:t xml:space="preserve"> väärteo tulemusel teenitud kasule või ära hoitud kahjule vastava</w:t>
      </w:r>
      <w:r w:rsidR="009D2C09">
        <w:rPr>
          <w:rFonts w:ascii="Times New Roman" w:hAnsi="Times New Roman"/>
          <w:lang w:val="et-EE"/>
        </w:rPr>
        <w:t>le</w:t>
      </w:r>
      <w:r w:rsidR="009D2C09" w:rsidRPr="00E4696D">
        <w:rPr>
          <w:rFonts w:ascii="Times New Roman" w:hAnsi="Times New Roman"/>
          <w:lang w:val="et-EE"/>
        </w:rPr>
        <w:t xml:space="preserve"> summa</w:t>
      </w:r>
      <w:r w:rsidR="009D2C09">
        <w:rPr>
          <w:rFonts w:ascii="Times New Roman" w:hAnsi="Times New Roman"/>
          <w:lang w:val="et-EE"/>
        </w:rPr>
        <w:t xml:space="preserve">le või juriidilise isiku puhul </w:t>
      </w:r>
      <w:r w:rsidR="009D2C09" w:rsidRPr="003A45C8">
        <w:rPr>
          <w:rFonts w:ascii="Times New Roman" w:hAnsi="Times New Roman"/>
          <w:lang w:val="et-EE"/>
        </w:rPr>
        <w:t>kuni küm</w:t>
      </w:r>
      <w:r w:rsidR="009D2C09">
        <w:rPr>
          <w:rFonts w:ascii="Times New Roman" w:hAnsi="Times New Roman"/>
          <w:lang w:val="et-EE"/>
        </w:rPr>
        <w:t>n</w:t>
      </w:r>
      <w:r w:rsidR="009D2C09" w:rsidRPr="003A45C8">
        <w:rPr>
          <w:rFonts w:ascii="Times New Roman" w:hAnsi="Times New Roman"/>
          <w:lang w:val="et-EE"/>
        </w:rPr>
        <w:t>e</w:t>
      </w:r>
      <w:r w:rsidR="009D2C09">
        <w:rPr>
          <w:rFonts w:ascii="Times New Roman" w:hAnsi="Times New Roman"/>
          <w:lang w:val="et-EE"/>
        </w:rPr>
        <w:t>le</w:t>
      </w:r>
      <w:r w:rsidR="009D2C09" w:rsidRPr="003A45C8">
        <w:rPr>
          <w:rFonts w:ascii="Times New Roman" w:hAnsi="Times New Roman"/>
          <w:lang w:val="et-EE"/>
        </w:rPr>
        <w:t xml:space="preserve"> protsen</w:t>
      </w:r>
      <w:r w:rsidR="009D2C09">
        <w:rPr>
          <w:rFonts w:ascii="Times New Roman" w:hAnsi="Times New Roman"/>
          <w:lang w:val="et-EE"/>
        </w:rPr>
        <w:t>d</w:t>
      </w:r>
      <w:r w:rsidR="009D2C09" w:rsidRPr="003A45C8">
        <w:rPr>
          <w:rFonts w:ascii="Times New Roman" w:hAnsi="Times New Roman"/>
          <w:lang w:val="et-EE"/>
        </w:rPr>
        <w:t>i</w:t>
      </w:r>
      <w:r w:rsidR="009D2C09">
        <w:rPr>
          <w:rFonts w:ascii="Times New Roman" w:hAnsi="Times New Roman"/>
          <w:lang w:val="et-EE"/>
        </w:rPr>
        <w:t>le</w:t>
      </w:r>
      <w:r w:rsidR="009D2C09" w:rsidRPr="003A45C8">
        <w:rPr>
          <w:rFonts w:ascii="Times New Roman" w:hAnsi="Times New Roman"/>
          <w:lang w:val="et-EE"/>
        </w:rPr>
        <w:t xml:space="preserve"> juriidilise isiku või tema konsolideerimisgrupi konsolideeritud käibest. </w:t>
      </w:r>
      <w:r w:rsidR="009D2C09">
        <w:rPr>
          <w:rFonts w:ascii="Times New Roman" w:hAnsi="Times New Roman"/>
          <w:lang w:val="et-EE"/>
        </w:rPr>
        <w:t>Vt ka IFS § 503</w:t>
      </w:r>
      <w:r w:rsidR="009D2C09">
        <w:rPr>
          <w:rFonts w:ascii="Times New Roman" w:hAnsi="Times New Roman"/>
          <w:vertAlign w:val="superscript"/>
          <w:lang w:val="et-EE"/>
        </w:rPr>
        <w:t>3</w:t>
      </w:r>
      <w:r w:rsidR="009D2C09">
        <w:rPr>
          <w:rFonts w:ascii="Times New Roman" w:hAnsi="Times New Roman"/>
          <w:lang w:val="et-EE"/>
        </w:rPr>
        <w:t xml:space="preserve"> muutmise selgitust.</w:t>
      </w:r>
    </w:p>
    <w:p w14:paraId="03E60B62" w14:textId="77777777" w:rsidR="00D57133" w:rsidRDefault="00D57133" w:rsidP="00D32BED">
      <w:pPr>
        <w:jc w:val="both"/>
        <w:rPr>
          <w:rFonts w:ascii="Times New Roman" w:hAnsi="Times New Roman"/>
          <w:lang w:val="et-EE"/>
        </w:rPr>
      </w:pPr>
    </w:p>
    <w:p w14:paraId="6C04CC0D" w14:textId="7336EDF3" w:rsidR="00D57133" w:rsidRPr="00A37DFB" w:rsidRDefault="00D57133" w:rsidP="00D57133">
      <w:pPr>
        <w:jc w:val="both"/>
        <w:rPr>
          <w:rFonts w:ascii="Times New Roman" w:hAnsi="Times New Roman"/>
          <w:lang w:val="et-EE"/>
        </w:rPr>
      </w:pPr>
      <w:r>
        <w:rPr>
          <w:rFonts w:ascii="Times New Roman" w:hAnsi="Times New Roman"/>
          <w:b/>
          <w:bCs/>
          <w:lang w:val="et-EE"/>
        </w:rPr>
        <w:t>KindlTS</w:t>
      </w:r>
      <w:r w:rsidRPr="00A37DFB">
        <w:rPr>
          <w:rFonts w:ascii="Times New Roman" w:hAnsi="Times New Roman"/>
          <w:b/>
          <w:bCs/>
          <w:lang w:val="et-EE"/>
        </w:rPr>
        <w:t xml:space="preserve"> § </w:t>
      </w:r>
      <w:r>
        <w:rPr>
          <w:rFonts w:ascii="Times New Roman" w:hAnsi="Times New Roman"/>
          <w:b/>
          <w:bCs/>
          <w:lang w:val="et-EE"/>
        </w:rPr>
        <w:t>263</w:t>
      </w:r>
      <w:r>
        <w:rPr>
          <w:rFonts w:ascii="Times New Roman" w:hAnsi="Times New Roman"/>
          <w:b/>
          <w:bCs/>
          <w:vertAlign w:val="superscript"/>
          <w:lang w:val="et-EE"/>
        </w:rPr>
        <w:t>4</w:t>
      </w:r>
      <w:r w:rsidRPr="00A37DFB">
        <w:rPr>
          <w:rFonts w:ascii="Times New Roman" w:hAnsi="Times New Roman"/>
          <w:b/>
          <w:bCs/>
          <w:lang w:val="et-EE"/>
        </w:rPr>
        <w:t>.</w:t>
      </w:r>
      <w:r w:rsidRPr="00A37DFB">
        <w:rPr>
          <w:rFonts w:ascii="Times New Roman" w:hAnsi="Times New Roman"/>
          <w:lang w:val="et-EE"/>
        </w:rPr>
        <w:t xml:space="preserve"> Eelnõuga tunnistatakse paragrahv kehtetuks ning selle sisu taasesitatakse §-s </w:t>
      </w:r>
      <w:r>
        <w:rPr>
          <w:rFonts w:ascii="Times New Roman" w:hAnsi="Times New Roman"/>
          <w:lang w:val="et-EE"/>
        </w:rPr>
        <w:t>26</w:t>
      </w:r>
      <w:r w:rsidRPr="00A37DFB">
        <w:rPr>
          <w:rFonts w:ascii="Times New Roman" w:hAnsi="Times New Roman"/>
          <w:lang w:val="et-EE"/>
        </w:rPr>
        <w:t xml:space="preserve">4. </w:t>
      </w:r>
    </w:p>
    <w:p w14:paraId="0F14FA66" w14:textId="77777777" w:rsidR="00D57133" w:rsidRPr="00A37DFB" w:rsidRDefault="00D57133" w:rsidP="00D57133">
      <w:pPr>
        <w:jc w:val="both"/>
        <w:rPr>
          <w:rFonts w:ascii="Times New Roman" w:hAnsi="Times New Roman"/>
          <w:lang w:val="et-EE"/>
        </w:rPr>
      </w:pPr>
    </w:p>
    <w:p w14:paraId="32D6CF48" w14:textId="7E9BE868" w:rsidR="00D57133" w:rsidRPr="0098556C" w:rsidRDefault="00D57133" w:rsidP="00D57133">
      <w:pPr>
        <w:jc w:val="both"/>
        <w:rPr>
          <w:rFonts w:ascii="Times New Roman" w:hAnsi="Times New Roman"/>
          <w:lang w:val="et-EE"/>
        </w:rPr>
      </w:pPr>
      <w:r>
        <w:rPr>
          <w:rFonts w:ascii="Times New Roman" w:hAnsi="Times New Roman"/>
          <w:b/>
          <w:bCs/>
          <w:lang w:val="et-EE"/>
        </w:rPr>
        <w:t xml:space="preserve">KindlTS </w:t>
      </w:r>
      <w:r w:rsidRPr="00B90DF7">
        <w:rPr>
          <w:rFonts w:ascii="Times New Roman" w:hAnsi="Times New Roman"/>
          <w:b/>
          <w:bCs/>
          <w:lang w:val="et-EE"/>
        </w:rPr>
        <w:t xml:space="preserve">§ </w:t>
      </w:r>
      <w:r>
        <w:rPr>
          <w:rFonts w:ascii="Times New Roman" w:hAnsi="Times New Roman"/>
          <w:b/>
          <w:bCs/>
          <w:lang w:val="et-EE"/>
        </w:rPr>
        <w:t>264</w:t>
      </w:r>
      <w:r w:rsidRPr="00A37DFB">
        <w:rPr>
          <w:rFonts w:ascii="Times New Roman" w:hAnsi="Times New Roman"/>
          <w:b/>
          <w:bCs/>
          <w:lang w:val="et-EE"/>
        </w:rPr>
        <w:t>.</w:t>
      </w:r>
      <w:r>
        <w:rPr>
          <w:rFonts w:ascii="Times New Roman" w:hAnsi="Times New Roman"/>
          <w:lang w:val="et-EE"/>
        </w:rPr>
        <w:t xml:space="preserve"> </w:t>
      </w:r>
      <w:r w:rsidRPr="00A37DFB">
        <w:rPr>
          <w:rFonts w:ascii="Times New Roman" w:hAnsi="Times New Roman"/>
          <w:lang w:val="et-EE"/>
        </w:rPr>
        <w:t xml:space="preserve"> </w:t>
      </w:r>
      <w:r>
        <w:rPr>
          <w:rFonts w:ascii="Times New Roman" w:hAnsi="Times New Roman"/>
          <w:lang w:val="et-EE"/>
        </w:rPr>
        <w:t>Paragrahvis on sätestatud, et KindlTS-s</w:t>
      </w:r>
      <w:r w:rsidRPr="0098556C">
        <w:rPr>
          <w:rFonts w:ascii="Times New Roman" w:hAnsi="Times New Roman"/>
          <w:lang w:val="et-EE"/>
        </w:rPr>
        <w:t xml:space="preserve"> sätestatud väärtegude kohtuväli</w:t>
      </w:r>
      <w:r>
        <w:rPr>
          <w:rFonts w:ascii="Times New Roman" w:hAnsi="Times New Roman"/>
          <w:lang w:val="et-EE"/>
        </w:rPr>
        <w:t>s</w:t>
      </w:r>
      <w:r w:rsidRPr="0098556C">
        <w:rPr>
          <w:rFonts w:ascii="Times New Roman" w:hAnsi="Times New Roman"/>
          <w:lang w:val="et-EE"/>
        </w:rPr>
        <w:t>e</w:t>
      </w:r>
      <w:r>
        <w:rPr>
          <w:rFonts w:ascii="Times New Roman" w:hAnsi="Times New Roman"/>
          <w:lang w:val="et-EE"/>
        </w:rPr>
        <w:t>ks</w:t>
      </w:r>
      <w:r w:rsidRPr="0098556C">
        <w:rPr>
          <w:rFonts w:ascii="Times New Roman" w:hAnsi="Times New Roman"/>
          <w:lang w:val="et-EE"/>
        </w:rPr>
        <w:t xml:space="preserve"> menetleja</w:t>
      </w:r>
      <w:r>
        <w:rPr>
          <w:rFonts w:ascii="Times New Roman" w:hAnsi="Times New Roman"/>
          <w:lang w:val="et-EE"/>
        </w:rPr>
        <w:t>ks</w:t>
      </w:r>
      <w:r w:rsidRPr="0098556C">
        <w:rPr>
          <w:rFonts w:ascii="Times New Roman" w:hAnsi="Times New Roman"/>
          <w:lang w:val="et-EE"/>
        </w:rPr>
        <w:t xml:space="preserve"> on Finantsinspektsioon.</w:t>
      </w:r>
      <w:r>
        <w:rPr>
          <w:rFonts w:ascii="Times New Roman" w:hAnsi="Times New Roman"/>
          <w:lang w:val="et-EE"/>
        </w:rPr>
        <w:t xml:space="preserve"> Eelnõuga tuuakse §-s 263</w:t>
      </w:r>
      <w:r>
        <w:rPr>
          <w:rFonts w:ascii="Times New Roman" w:hAnsi="Times New Roman"/>
          <w:vertAlign w:val="superscript"/>
          <w:lang w:val="et-EE"/>
        </w:rPr>
        <w:t>4</w:t>
      </w:r>
      <w:r>
        <w:rPr>
          <w:rFonts w:ascii="Times New Roman" w:hAnsi="Times New Roman"/>
          <w:lang w:val="et-EE"/>
        </w:rPr>
        <w:t xml:space="preserve"> sätestatud väärtegude aegumistähtaeg § 264 lõikeks 2. Sisulisi muudatusi neis normides ei tehta – väärtegude kohtuväliseks menetlejaks jääb endiselt Finantsinspektsioon ja aegumistähtajaks kolm aastat. Lõikes 1 täpsustatakse üksnes, et mõeldud on </w:t>
      </w:r>
      <w:r w:rsidR="00CD437B">
        <w:rPr>
          <w:rFonts w:ascii="Times New Roman" w:hAnsi="Times New Roman"/>
          <w:lang w:val="et-EE"/>
        </w:rPr>
        <w:t>KindlTS</w:t>
      </w:r>
      <w:r>
        <w:rPr>
          <w:rFonts w:ascii="Times New Roman" w:hAnsi="Times New Roman"/>
          <w:lang w:val="et-EE"/>
        </w:rPr>
        <w:t xml:space="preserve"> </w:t>
      </w:r>
      <w:r w:rsidR="00CD437B">
        <w:rPr>
          <w:rFonts w:ascii="Times New Roman" w:hAnsi="Times New Roman"/>
          <w:lang w:val="et-EE"/>
        </w:rPr>
        <w:t>1</w:t>
      </w:r>
      <w:r>
        <w:rPr>
          <w:rFonts w:ascii="Times New Roman" w:hAnsi="Times New Roman"/>
          <w:lang w:val="et-EE"/>
        </w:rPr>
        <w:t xml:space="preserve">3. peatükis sätestatud väärtegusid. </w:t>
      </w:r>
    </w:p>
    <w:p w14:paraId="75DAC7C8" w14:textId="77777777" w:rsidR="00D57133" w:rsidRDefault="00D57133" w:rsidP="00D57133">
      <w:pPr>
        <w:jc w:val="both"/>
        <w:rPr>
          <w:rFonts w:ascii="Times New Roman" w:hAnsi="Times New Roman"/>
          <w:lang w:val="et-EE"/>
        </w:rPr>
      </w:pPr>
    </w:p>
    <w:p w14:paraId="652F408F" w14:textId="77777777" w:rsidR="00D57133" w:rsidRPr="00D57133" w:rsidRDefault="00D57133" w:rsidP="00D57133">
      <w:pPr>
        <w:jc w:val="both"/>
        <w:rPr>
          <w:rFonts w:ascii="Times New Roman" w:hAnsi="Times New Roman"/>
          <w:lang w:val="et-EE"/>
        </w:rPr>
      </w:pPr>
      <w:r w:rsidRPr="00D57133">
        <w:rPr>
          <w:rFonts w:ascii="Times New Roman" w:hAnsi="Times New Roman"/>
          <w:lang w:val="et-EE"/>
        </w:rPr>
        <w:t>Finantssektori väärtegude kolmeaastased aegumistähtajad nähti ette finantsvaldkonna väärteokaristuste reformi raames. Paralleelselt menetleti JuM-i vastutusvaldkonda kuuluvat karistusseadustiku muutmise ja sellega seonduvalt teiste seaduste muutmise seadust (Euroopa Liidu õigusest tulenevad rahatrahvid), mille seletuskirjas on selgitatud, et</w:t>
      </w:r>
      <w:r>
        <w:rPr>
          <w:rFonts w:ascii="Times New Roman" w:hAnsi="Times New Roman"/>
          <w:lang w:val="et-EE"/>
        </w:rPr>
        <w:t>:</w:t>
      </w:r>
      <w:r w:rsidRPr="00D57133">
        <w:rPr>
          <w:rFonts w:ascii="Times New Roman" w:hAnsi="Times New Roman"/>
          <w:lang w:val="et-EE"/>
        </w:rPr>
        <w:t xml:space="preserve"> „</w:t>
      </w:r>
      <w:r>
        <w:rPr>
          <w:rFonts w:ascii="Times New Roman" w:hAnsi="Times New Roman"/>
          <w:lang w:val="et-EE"/>
        </w:rPr>
        <w:t>V</w:t>
      </w:r>
      <w:r w:rsidRPr="00D57133">
        <w:rPr>
          <w:rFonts w:ascii="Times New Roman" w:hAnsi="Times New Roman"/>
          <w:lang w:val="et-EE"/>
        </w:rPr>
        <w:t xml:space="preserve">äljatöötamiskavatsuse kooskõlastamisel avaldati arvamust, et kõrgema rahatrahvi ülemmääraga karistatavate väärtegude korral tuleks sätestada senisest pikem aegumistähtaeg. Eelnõu koostamisel leiti algselt, et kuna kehtiv õigus võimaldab teatud väärtegude korral sätestada kaheaastase aegumistähtaja asemel kolmeaastase aegumistähtaja (KarS § 81 lg 3) ning suurema ebaõigussisuga teise astme kuritegu aegub viie aastaga (KarS § 81 lg 1 p 2), ei ole praegu erisuse loomine vajalik. Sellegipoolest leiti ka eelnõu kooskõlastamisel esitatud arvamustes jätkuvalt, et väärtegude üldine aegumistähtaeg ei võimalda finants- ja andmekaitse valdkonnas väärteomenetlusi tõhusalt läbi viia, arvestades nendes valdkondades toime pandavate väärtegude keerukust“. </w:t>
      </w:r>
    </w:p>
    <w:p w14:paraId="60CCA65B" w14:textId="77777777" w:rsidR="00D57133" w:rsidRPr="00D57133" w:rsidRDefault="00D57133" w:rsidP="00D57133">
      <w:pPr>
        <w:jc w:val="both"/>
        <w:rPr>
          <w:rFonts w:ascii="Times New Roman" w:hAnsi="Times New Roman"/>
          <w:lang w:val="et-EE"/>
        </w:rPr>
      </w:pPr>
    </w:p>
    <w:p w14:paraId="2CEC7AF1" w14:textId="59D8286D" w:rsidR="00D57133" w:rsidRPr="009D2C09" w:rsidRDefault="00D57133" w:rsidP="00D32BED">
      <w:pPr>
        <w:jc w:val="both"/>
        <w:rPr>
          <w:rFonts w:ascii="Times New Roman" w:hAnsi="Times New Roman"/>
          <w:lang w:val="et-EE"/>
        </w:rPr>
      </w:pPr>
      <w:r w:rsidRPr="00D57133">
        <w:rPr>
          <w:rFonts w:ascii="Times New Roman" w:hAnsi="Times New Roman"/>
          <w:lang w:val="et-EE"/>
        </w:rPr>
        <w:t>Finantsvaldkonnas võib olla tegemist väga keeruliste kaasustega, mis on tavaliselt nn peitsüüteod (nagu näiteks ka maksustamise valdkonna süüteod), s.t rikkumise toimepanemise asjaolud ei ole kergelt märgatavad, kannatanut ei ole või tema isik ei ole teada ja süüteo toimepannud isik teeb kõik endast oleneva, et järelevalveasutus ei avastaks rikkumist.</w:t>
      </w:r>
      <w:r>
        <w:rPr>
          <w:rFonts w:ascii="Times New Roman" w:hAnsi="Times New Roman"/>
          <w:lang w:val="et-EE"/>
        </w:rPr>
        <w:t xml:space="preserve"> Sellest lähtuvalt on kehtestatud kolmeaastased aegumistähtajad, mida ei ole käesoleval hetkel ka põhjust muuta.</w:t>
      </w:r>
    </w:p>
    <w:p w14:paraId="0C3A5381" w14:textId="47F03D7D" w:rsidR="00E4696D" w:rsidRPr="00E4696D" w:rsidRDefault="009D2C09" w:rsidP="00D32BED">
      <w:pPr>
        <w:jc w:val="both"/>
        <w:rPr>
          <w:rFonts w:ascii="Times New Roman" w:hAnsi="Times New Roman"/>
          <w:lang w:val="et-EE"/>
        </w:rPr>
      </w:pPr>
      <w:r>
        <w:rPr>
          <w:rFonts w:ascii="Times New Roman" w:hAnsi="Times New Roman"/>
          <w:lang w:val="et-EE"/>
        </w:rPr>
        <w:t xml:space="preserve">  </w:t>
      </w:r>
      <w:r w:rsidRPr="00B667CD">
        <w:rPr>
          <w:rFonts w:ascii="Times New Roman" w:hAnsi="Times New Roman"/>
          <w:lang w:val="et-EE"/>
        </w:rPr>
        <w:t xml:space="preserve"> </w:t>
      </w:r>
    </w:p>
    <w:p w14:paraId="34A22ED1" w14:textId="729BBA40" w:rsidR="00E4696D" w:rsidRPr="00E4696D" w:rsidRDefault="009D2C09" w:rsidP="00D32BED">
      <w:pPr>
        <w:jc w:val="both"/>
        <w:rPr>
          <w:rFonts w:ascii="Times New Roman" w:hAnsi="Times New Roman"/>
          <w:b/>
          <w:bCs/>
          <w:lang w:val="et-EE"/>
        </w:rPr>
      </w:pPr>
      <w:r>
        <w:rPr>
          <w:rFonts w:ascii="Times New Roman" w:hAnsi="Times New Roman"/>
          <w:b/>
          <w:bCs/>
          <w:lang w:val="et-EE"/>
        </w:rPr>
        <w:t xml:space="preserve">3.4. Eelnõu </w:t>
      </w:r>
      <w:r w:rsidR="00E4696D" w:rsidRPr="00E4696D">
        <w:rPr>
          <w:rFonts w:ascii="Times New Roman" w:hAnsi="Times New Roman"/>
          <w:b/>
          <w:bCs/>
          <w:lang w:val="et-EE"/>
        </w:rPr>
        <w:t>§ 4</w:t>
      </w:r>
      <w:r>
        <w:rPr>
          <w:rFonts w:ascii="Times New Roman" w:hAnsi="Times New Roman"/>
          <w:b/>
          <w:bCs/>
          <w:lang w:val="et-EE"/>
        </w:rPr>
        <w:t xml:space="preserve"> –</w:t>
      </w:r>
      <w:r w:rsidR="00E4696D" w:rsidRPr="00E4696D">
        <w:rPr>
          <w:rFonts w:ascii="Times New Roman" w:hAnsi="Times New Roman"/>
          <w:b/>
          <w:bCs/>
          <w:lang w:val="et-EE"/>
        </w:rPr>
        <w:t xml:space="preserve"> </w:t>
      </w:r>
      <w:r>
        <w:rPr>
          <w:rFonts w:ascii="Times New Roman" w:hAnsi="Times New Roman"/>
          <w:b/>
          <w:bCs/>
          <w:lang w:val="et-EE"/>
        </w:rPr>
        <w:t>k</w:t>
      </w:r>
      <w:r w:rsidR="00E4696D" w:rsidRPr="00E4696D">
        <w:rPr>
          <w:rFonts w:ascii="Times New Roman" w:hAnsi="Times New Roman"/>
          <w:b/>
          <w:bCs/>
          <w:lang w:val="et-EE"/>
        </w:rPr>
        <w:t>rediidiasutuste seaduse muutmine</w:t>
      </w:r>
    </w:p>
    <w:p w14:paraId="58FAC675" w14:textId="444FAAC4" w:rsidR="009D2C09" w:rsidRPr="009D2C09" w:rsidRDefault="00E4696D" w:rsidP="00D32BED">
      <w:pPr>
        <w:jc w:val="both"/>
        <w:rPr>
          <w:rFonts w:ascii="Times New Roman" w:hAnsi="Times New Roman"/>
          <w:lang w:val="et-EE"/>
        </w:rPr>
      </w:pPr>
      <w:r w:rsidRPr="00E4696D">
        <w:rPr>
          <w:rFonts w:ascii="Times New Roman" w:hAnsi="Times New Roman"/>
          <w:lang w:val="et-EE"/>
        </w:rPr>
        <w:t>K</w:t>
      </w:r>
      <w:r w:rsidR="009D2C09">
        <w:rPr>
          <w:rFonts w:ascii="Times New Roman" w:hAnsi="Times New Roman"/>
          <w:lang w:val="et-EE"/>
        </w:rPr>
        <w:t>AS-s muudetakse §-s 134</w:t>
      </w:r>
      <w:r w:rsidR="009D2C09">
        <w:rPr>
          <w:rFonts w:ascii="Times New Roman" w:hAnsi="Times New Roman"/>
          <w:vertAlign w:val="superscript"/>
          <w:lang w:val="et-EE"/>
        </w:rPr>
        <w:t>20</w:t>
      </w:r>
      <w:r w:rsidR="009D2C09">
        <w:rPr>
          <w:rFonts w:ascii="Times New Roman" w:hAnsi="Times New Roman"/>
          <w:lang w:val="et-EE"/>
        </w:rPr>
        <w:t xml:space="preserve"> sätestatud väärteokaristuste piirmäärasid. Paragrahv reguleerib PEPPi määruse</w:t>
      </w:r>
      <w:r w:rsidR="009D2C09" w:rsidRPr="00B667CD">
        <w:rPr>
          <w:rFonts w:ascii="Times New Roman" w:hAnsi="Times New Roman"/>
          <w:lang w:val="et-EE"/>
        </w:rPr>
        <w:t xml:space="preserve"> nõuete rikkumi</w:t>
      </w:r>
      <w:r w:rsidR="009D2C09">
        <w:rPr>
          <w:rFonts w:ascii="Times New Roman" w:hAnsi="Times New Roman"/>
          <w:lang w:val="et-EE"/>
        </w:rPr>
        <w:t xml:space="preserve">sega kaasnevaid rahatrahve. Rahatrahviga karistatakse PEPPi määruse </w:t>
      </w:r>
      <w:r w:rsidR="009D2C09" w:rsidRPr="00B667CD">
        <w:rPr>
          <w:rFonts w:ascii="Times New Roman" w:hAnsi="Times New Roman"/>
          <w:lang w:val="et-EE"/>
        </w:rPr>
        <w:t xml:space="preserve">artikli 5 lõikes 1 ning artiklites 6, 7, </w:t>
      </w:r>
      <w:r w:rsidR="006F334C">
        <w:rPr>
          <w:rFonts w:ascii="Times New Roman" w:hAnsi="Times New Roman"/>
          <w:lang w:val="et-EE"/>
        </w:rPr>
        <w:t>1</w:t>
      </w:r>
      <w:r w:rsidR="006F334C" w:rsidRPr="006F334C">
        <w:rPr>
          <w:rFonts w:ascii="Times New Roman" w:hAnsi="Times New Roman"/>
          <w:lang w:val="et-EE"/>
        </w:rPr>
        <w:t>8–48, 50 ja 52–56 s</w:t>
      </w:r>
      <w:r w:rsidR="009D2C09" w:rsidRPr="00B667CD">
        <w:rPr>
          <w:rFonts w:ascii="Times New Roman" w:hAnsi="Times New Roman"/>
          <w:lang w:val="et-EE"/>
        </w:rPr>
        <w:t>ätestatud nõuete rikkumise eest</w:t>
      </w:r>
      <w:r w:rsidR="009D2C09">
        <w:rPr>
          <w:rFonts w:ascii="Times New Roman" w:hAnsi="Times New Roman"/>
          <w:lang w:val="et-EE"/>
        </w:rPr>
        <w:t xml:space="preserve">. Normid tuginevad PEPPi määruse artikli </w:t>
      </w:r>
      <w:r w:rsidR="009D2C09" w:rsidRPr="00B667CD">
        <w:rPr>
          <w:rFonts w:ascii="Times New Roman" w:hAnsi="Times New Roman"/>
          <w:lang w:val="et-EE"/>
        </w:rPr>
        <w:t>67 punkt</w:t>
      </w:r>
      <w:r w:rsidR="009D2C09">
        <w:rPr>
          <w:rFonts w:ascii="Times New Roman" w:hAnsi="Times New Roman"/>
          <w:lang w:val="et-EE"/>
        </w:rPr>
        <w:t>ile</w:t>
      </w:r>
      <w:r w:rsidR="009D2C09" w:rsidRPr="00B667CD">
        <w:rPr>
          <w:rFonts w:ascii="Times New Roman" w:hAnsi="Times New Roman"/>
          <w:lang w:val="et-EE"/>
        </w:rPr>
        <w:t xml:space="preserve"> 2</w:t>
      </w:r>
      <w:r w:rsidR="009D2C09">
        <w:rPr>
          <w:rFonts w:ascii="Times New Roman" w:hAnsi="Times New Roman"/>
          <w:lang w:val="et-EE"/>
        </w:rPr>
        <w:t xml:space="preserve">, mille kohaselt tuleb </w:t>
      </w:r>
      <w:r w:rsidR="009D2C09" w:rsidRPr="00B667CD">
        <w:rPr>
          <w:rFonts w:ascii="Times New Roman" w:hAnsi="Times New Roman"/>
          <w:lang w:val="et-EE"/>
        </w:rPr>
        <w:t>liikmesrii</w:t>
      </w:r>
      <w:r w:rsidR="009D2C09">
        <w:rPr>
          <w:rFonts w:ascii="Times New Roman" w:hAnsi="Times New Roman"/>
          <w:lang w:val="et-EE"/>
        </w:rPr>
        <w:t xml:space="preserve">kidel </w:t>
      </w:r>
      <w:r w:rsidR="009D2C09" w:rsidRPr="00B667CD">
        <w:rPr>
          <w:rFonts w:ascii="Times New Roman" w:hAnsi="Times New Roman"/>
          <w:lang w:val="et-EE"/>
        </w:rPr>
        <w:t>ette näh</w:t>
      </w:r>
      <w:r w:rsidR="009D2C09">
        <w:rPr>
          <w:rFonts w:ascii="Times New Roman" w:hAnsi="Times New Roman"/>
          <w:lang w:val="et-EE"/>
        </w:rPr>
        <w:t>a</w:t>
      </w:r>
      <w:r w:rsidR="009D2C09" w:rsidRPr="00B667CD">
        <w:rPr>
          <w:rFonts w:ascii="Times New Roman" w:hAnsi="Times New Roman"/>
          <w:lang w:val="et-EE"/>
        </w:rPr>
        <w:t xml:space="preserve"> karistused ja muud haldusmeetmed</w:t>
      </w:r>
      <w:r w:rsidR="009D2C09">
        <w:rPr>
          <w:rFonts w:ascii="Times New Roman" w:hAnsi="Times New Roman"/>
          <w:lang w:val="et-EE"/>
        </w:rPr>
        <w:t xml:space="preserve">, ja arvestavad millised </w:t>
      </w:r>
      <w:r w:rsidR="00D36564">
        <w:rPr>
          <w:rFonts w:ascii="Times New Roman" w:hAnsi="Times New Roman"/>
          <w:lang w:val="et-EE"/>
        </w:rPr>
        <w:t>määruses</w:t>
      </w:r>
      <w:r w:rsidR="009D2C09">
        <w:rPr>
          <w:rFonts w:ascii="Times New Roman" w:hAnsi="Times New Roman"/>
          <w:lang w:val="et-EE"/>
        </w:rPr>
        <w:t xml:space="preserve"> viidatud nõuetest </w:t>
      </w:r>
      <w:r w:rsidR="006F334C">
        <w:rPr>
          <w:rFonts w:ascii="Times New Roman" w:hAnsi="Times New Roman"/>
          <w:lang w:val="et-EE"/>
        </w:rPr>
        <w:t xml:space="preserve">krediidiasutusele PEPPi lepingu pakkujana või depositooriumina </w:t>
      </w:r>
      <w:r w:rsidR="009D2C09">
        <w:rPr>
          <w:rFonts w:ascii="Times New Roman" w:hAnsi="Times New Roman"/>
          <w:lang w:val="et-EE"/>
        </w:rPr>
        <w:t>kohalduvad. Eelnõuga tõstetakse trahvimäärad samal tasemele, nagu seda tehti muude finantssekori väärteokaristuste puhul PEPPi määruse ülevõtmisega samal ajal aset leidnud finantssektori väärteokaristuste reformi käigus (</w:t>
      </w:r>
      <w:r w:rsidR="009D2C09" w:rsidRPr="00B667CD">
        <w:rPr>
          <w:rFonts w:ascii="Times New Roman" w:hAnsi="Times New Roman"/>
          <w:lang w:val="et-EE"/>
        </w:rPr>
        <w:t>audiitortegevuse seaduse, finantskriisi ennetamise ja lahendamise seaduse ning teiste seaduste muutmise seadus</w:t>
      </w:r>
      <w:r w:rsidR="009D2C09">
        <w:rPr>
          <w:rFonts w:ascii="Times New Roman" w:hAnsi="Times New Roman"/>
          <w:lang w:val="et-EE"/>
        </w:rPr>
        <w:t>, mis</w:t>
      </w:r>
      <w:r w:rsidR="009D2C09" w:rsidRPr="00B667CD">
        <w:rPr>
          <w:rFonts w:ascii="Times New Roman" w:hAnsi="Times New Roman"/>
          <w:lang w:val="et-EE"/>
        </w:rPr>
        <w:t xml:space="preserve"> jõustu</w:t>
      </w:r>
      <w:r w:rsidR="009D2C09">
        <w:rPr>
          <w:rFonts w:ascii="Times New Roman" w:hAnsi="Times New Roman"/>
          <w:lang w:val="et-EE"/>
        </w:rPr>
        <w:t>s</w:t>
      </w:r>
      <w:r w:rsidR="009D2C09" w:rsidRPr="00B667CD">
        <w:rPr>
          <w:rFonts w:ascii="Times New Roman" w:hAnsi="Times New Roman"/>
          <w:lang w:val="et-EE"/>
        </w:rPr>
        <w:t xml:space="preserve"> 2023. aasta 1. novembril</w:t>
      </w:r>
      <w:r w:rsidR="009D2C09">
        <w:rPr>
          <w:rFonts w:ascii="Times New Roman" w:hAnsi="Times New Roman"/>
          <w:lang w:val="et-EE"/>
        </w:rPr>
        <w:t xml:space="preserve">). Rahatrahvi piirmäärad </w:t>
      </w:r>
      <w:r w:rsidR="009D2C09">
        <w:rPr>
          <w:rFonts w:ascii="Times New Roman" w:hAnsi="Times New Roman"/>
          <w:lang w:val="et-EE"/>
        </w:rPr>
        <w:lastRenderedPageBreak/>
        <w:t xml:space="preserve">tõusevad nii füüsilise kui juriidilise isiku puhul </w:t>
      </w:r>
      <w:r w:rsidR="009D2C09" w:rsidRPr="00E4696D">
        <w:rPr>
          <w:rFonts w:ascii="Times New Roman" w:hAnsi="Times New Roman"/>
          <w:lang w:val="et-EE"/>
        </w:rPr>
        <w:t>5 000 000 euro</w:t>
      </w:r>
      <w:r w:rsidR="009D2C09">
        <w:rPr>
          <w:rFonts w:ascii="Times New Roman" w:hAnsi="Times New Roman"/>
          <w:lang w:val="et-EE"/>
        </w:rPr>
        <w:t>le</w:t>
      </w:r>
      <w:r w:rsidR="009D2C09" w:rsidRPr="00E4696D">
        <w:rPr>
          <w:rFonts w:ascii="Times New Roman" w:hAnsi="Times New Roman"/>
          <w:lang w:val="et-EE"/>
        </w:rPr>
        <w:t xml:space="preserve"> või kuni kahekordse</w:t>
      </w:r>
      <w:r w:rsidR="009D2C09">
        <w:rPr>
          <w:rFonts w:ascii="Times New Roman" w:hAnsi="Times New Roman"/>
          <w:lang w:val="et-EE"/>
        </w:rPr>
        <w:t>le</w:t>
      </w:r>
      <w:r w:rsidR="009D2C09" w:rsidRPr="00E4696D">
        <w:rPr>
          <w:rFonts w:ascii="Times New Roman" w:hAnsi="Times New Roman"/>
          <w:lang w:val="et-EE"/>
        </w:rPr>
        <w:t xml:space="preserve"> väärteo tulemusel teenitud kasule või ära hoitud kahjule vastava</w:t>
      </w:r>
      <w:r w:rsidR="009D2C09">
        <w:rPr>
          <w:rFonts w:ascii="Times New Roman" w:hAnsi="Times New Roman"/>
          <w:lang w:val="et-EE"/>
        </w:rPr>
        <w:t>le</w:t>
      </w:r>
      <w:r w:rsidR="009D2C09" w:rsidRPr="00E4696D">
        <w:rPr>
          <w:rFonts w:ascii="Times New Roman" w:hAnsi="Times New Roman"/>
          <w:lang w:val="et-EE"/>
        </w:rPr>
        <w:t xml:space="preserve"> summa</w:t>
      </w:r>
      <w:r w:rsidR="009D2C09">
        <w:rPr>
          <w:rFonts w:ascii="Times New Roman" w:hAnsi="Times New Roman"/>
          <w:lang w:val="et-EE"/>
        </w:rPr>
        <w:t xml:space="preserve">le või juriidilise isiku puhul </w:t>
      </w:r>
      <w:r w:rsidR="009D2C09" w:rsidRPr="003A45C8">
        <w:rPr>
          <w:rFonts w:ascii="Times New Roman" w:hAnsi="Times New Roman"/>
          <w:lang w:val="et-EE"/>
        </w:rPr>
        <w:t>kuni küm</w:t>
      </w:r>
      <w:r w:rsidR="009D2C09">
        <w:rPr>
          <w:rFonts w:ascii="Times New Roman" w:hAnsi="Times New Roman"/>
          <w:lang w:val="et-EE"/>
        </w:rPr>
        <w:t>n</w:t>
      </w:r>
      <w:r w:rsidR="009D2C09" w:rsidRPr="003A45C8">
        <w:rPr>
          <w:rFonts w:ascii="Times New Roman" w:hAnsi="Times New Roman"/>
          <w:lang w:val="et-EE"/>
        </w:rPr>
        <w:t>e</w:t>
      </w:r>
      <w:r w:rsidR="009D2C09">
        <w:rPr>
          <w:rFonts w:ascii="Times New Roman" w:hAnsi="Times New Roman"/>
          <w:lang w:val="et-EE"/>
        </w:rPr>
        <w:t>le</w:t>
      </w:r>
      <w:r w:rsidR="009D2C09" w:rsidRPr="003A45C8">
        <w:rPr>
          <w:rFonts w:ascii="Times New Roman" w:hAnsi="Times New Roman"/>
          <w:lang w:val="et-EE"/>
        </w:rPr>
        <w:t xml:space="preserve"> protsen</w:t>
      </w:r>
      <w:r w:rsidR="009D2C09">
        <w:rPr>
          <w:rFonts w:ascii="Times New Roman" w:hAnsi="Times New Roman"/>
          <w:lang w:val="et-EE"/>
        </w:rPr>
        <w:t>d</w:t>
      </w:r>
      <w:r w:rsidR="009D2C09" w:rsidRPr="003A45C8">
        <w:rPr>
          <w:rFonts w:ascii="Times New Roman" w:hAnsi="Times New Roman"/>
          <w:lang w:val="et-EE"/>
        </w:rPr>
        <w:t>i</w:t>
      </w:r>
      <w:r w:rsidR="009D2C09">
        <w:rPr>
          <w:rFonts w:ascii="Times New Roman" w:hAnsi="Times New Roman"/>
          <w:lang w:val="et-EE"/>
        </w:rPr>
        <w:t>le</w:t>
      </w:r>
      <w:r w:rsidR="009D2C09" w:rsidRPr="003A45C8">
        <w:rPr>
          <w:rFonts w:ascii="Times New Roman" w:hAnsi="Times New Roman"/>
          <w:lang w:val="et-EE"/>
        </w:rPr>
        <w:t xml:space="preserve"> juriidilise isiku või tema konsolideerimisgrupi konsolideeritud käibest. </w:t>
      </w:r>
      <w:r w:rsidR="009D2C09">
        <w:rPr>
          <w:rFonts w:ascii="Times New Roman" w:hAnsi="Times New Roman"/>
          <w:lang w:val="et-EE"/>
        </w:rPr>
        <w:t>Vt ka IFS § 503</w:t>
      </w:r>
      <w:r w:rsidR="009D2C09">
        <w:rPr>
          <w:rFonts w:ascii="Times New Roman" w:hAnsi="Times New Roman"/>
          <w:vertAlign w:val="superscript"/>
          <w:lang w:val="et-EE"/>
        </w:rPr>
        <w:t>3</w:t>
      </w:r>
      <w:r w:rsidR="009D2C09">
        <w:rPr>
          <w:rFonts w:ascii="Times New Roman" w:hAnsi="Times New Roman"/>
          <w:lang w:val="et-EE"/>
        </w:rPr>
        <w:t xml:space="preserve"> muutmise selgitust.</w:t>
      </w:r>
    </w:p>
    <w:p w14:paraId="7B9BD833" w14:textId="77777777" w:rsidR="00E4696D" w:rsidRPr="00E4696D" w:rsidRDefault="00E4696D" w:rsidP="00D32BED">
      <w:pPr>
        <w:jc w:val="both"/>
        <w:rPr>
          <w:rFonts w:ascii="Times New Roman" w:hAnsi="Times New Roman"/>
          <w:lang w:val="et-EE"/>
        </w:rPr>
      </w:pPr>
    </w:p>
    <w:p w14:paraId="24C216AA" w14:textId="548F0C2A" w:rsidR="00E4696D" w:rsidRPr="00E4696D" w:rsidRDefault="006F334C" w:rsidP="00D32BED">
      <w:pPr>
        <w:jc w:val="both"/>
        <w:rPr>
          <w:rFonts w:ascii="Times New Roman" w:hAnsi="Times New Roman"/>
          <w:b/>
          <w:bCs/>
          <w:lang w:val="et-EE"/>
        </w:rPr>
      </w:pPr>
      <w:r>
        <w:rPr>
          <w:rFonts w:ascii="Times New Roman" w:hAnsi="Times New Roman"/>
          <w:b/>
          <w:bCs/>
          <w:lang w:val="et-EE"/>
        </w:rPr>
        <w:t xml:space="preserve">3.5. Eelnõu </w:t>
      </w:r>
      <w:r w:rsidR="00E4696D" w:rsidRPr="00E4696D">
        <w:rPr>
          <w:rFonts w:ascii="Times New Roman" w:hAnsi="Times New Roman"/>
          <w:b/>
          <w:bCs/>
          <w:lang w:val="et-EE"/>
        </w:rPr>
        <w:t>§ 5</w:t>
      </w:r>
      <w:r>
        <w:rPr>
          <w:rFonts w:ascii="Times New Roman" w:hAnsi="Times New Roman"/>
          <w:b/>
          <w:bCs/>
          <w:lang w:val="et-EE"/>
        </w:rPr>
        <w:t xml:space="preserve"> –</w:t>
      </w:r>
      <w:r w:rsidR="00E4696D" w:rsidRPr="00E4696D">
        <w:rPr>
          <w:rFonts w:ascii="Times New Roman" w:hAnsi="Times New Roman"/>
          <w:b/>
          <w:bCs/>
          <w:lang w:val="et-EE"/>
        </w:rPr>
        <w:t xml:space="preserve"> </w:t>
      </w:r>
      <w:r>
        <w:rPr>
          <w:rFonts w:ascii="Times New Roman" w:hAnsi="Times New Roman"/>
          <w:b/>
          <w:bCs/>
          <w:lang w:val="et-EE"/>
        </w:rPr>
        <w:t>t</w:t>
      </w:r>
      <w:r w:rsidR="00E4696D" w:rsidRPr="00E4696D">
        <w:rPr>
          <w:rFonts w:ascii="Times New Roman" w:hAnsi="Times New Roman"/>
          <w:b/>
          <w:bCs/>
          <w:lang w:val="et-EE"/>
        </w:rPr>
        <w:t>ulumaksuseaduse</w:t>
      </w:r>
      <w:r>
        <w:rPr>
          <w:rFonts w:ascii="Times New Roman" w:hAnsi="Times New Roman"/>
          <w:b/>
          <w:bCs/>
          <w:lang w:val="et-EE"/>
        </w:rPr>
        <w:t xml:space="preserve"> </w:t>
      </w:r>
      <w:r w:rsidR="00E4696D" w:rsidRPr="00E4696D">
        <w:rPr>
          <w:rFonts w:ascii="Times New Roman" w:hAnsi="Times New Roman"/>
          <w:b/>
          <w:bCs/>
          <w:lang w:val="et-EE"/>
        </w:rPr>
        <w:t>muutmine</w:t>
      </w:r>
    </w:p>
    <w:p w14:paraId="4B4F3136" w14:textId="77777777" w:rsidR="00981EC2" w:rsidRDefault="00E4696D" w:rsidP="00D32BED">
      <w:pPr>
        <w:jc w:val="both"/>
        <w:rPr>
          <w:rFonts w:ascii="Times New Roman" w:hAnsi="Times New Roman"/>
          <w:lang w:val="et-EE"/>
        </w:rPr>
      </w:pPr>
      <w:r w:rsidRPr="00981EC2">
        <w:rPr>
          <w:rFonts w:ascii="Times New Roman" w:hAnsi="Times New Roman"/>
          <w:b/>
          <w:bCs/>
          <w:lang w:val="et-EE"/>
        </w:rPr>
        <w:t>Tu</w:t>
      </w:r>
      <w:r w:rsidR="00981EC2" w:rsidRPr="00981EC2">
        <w:rPr>
          <w:rFonts w:ascii="Times New Roman" w:hAnsi="Times New Roman"/>
          <w:b/>
          <w:bCs/>
          <w:lang w:val="et-EE"/>
        </w:rPr>
        <w:t>MS-s tehakse täpsustusi §-s 21</w:t>
      </w:r>
      <w:r w:rsidR="00981EC2">
        <w:rPr>
          <w:rFonts w:ascii="Times New Roman" w:hAnsi="Times New Roman"/>
          <w:lang w:val="et-EE"/>
        </w:rPr>
        <w:t xml:space="preserve">, mis reguleerib III samba väljamaksete maksustamist. Kui leiab aset III samba pensionifondide vahetamine, viimine raha ühest III samba kindlustuslepingust teise või liikumine pensionifondist kindlustuslepingusse või vastupidi, ei loeta selliseid kandeid väljamakseteks TuMSi tähenduses. Raha kantakse sel juhul ühest pensioniskeemist teise ja pensionikogujale vahepeal väljamakset ei tehta. Kui pensionifondi puhul on võimalik vahetustehinguks kasutada ka vaid osa ühte fondi kogutud rahast (tagasi võetakse osa osakuid, mitte kõik), siis täiendava kogumispensioni kindlustuslepingu puhul on sätestatud, et vahetustehinguks kasutatakse üles öeldud kindlustuslepingu tagastusväärtust. Seega eeldab kehtiv seadus, et kindlustusleping tuleb üles öelda, kui on soov sellega kogutud raha edasi teise III samba kindlustuslepingu alusel või vabatahtlikuks pensionifondis koguda. Praktikas võivad täiendava kogumispensioni kindlustuslepingud aga võimaldada ka osalisi väljamakseid lepingust. Sellise osalise väljamakse arvelt võiks olla lubatud ka ühest pensioniskeemist teise liikuda. Eeldus oleks sama, mis praegu III samba vahetustehingute puhul – raha liiguks ühest pensioniskeemist teise ja pensionikogujale praktikas mingit väljamakset ei tehtaks. </w:t>
      </w:r>
    </w:p>
    <w:p w14:paraId="34E01FEB" w14:textId="77777777" w:rsidR="00981EC2" w:rsidRDefault="00981EC2" w:rsidP="00D32BED">
      <w:pPr>
        <w:jc w:val="both"/>
        <w:rPr>
          <w:rFonts w:ascii="Times New Roman" w:hAnsi="Times New Roman"/>
          <w:lang w:val="et-EE"/>
        </w:rPr>
      </w:pPr>
    </w:p>
    <w:p w14:paraId="37D537E2" w14:textId="05005C54" w:rsidR="00315348" w:rsidRDefault="00981EC2" w:rsidP="00D32BED">
      <w:pPr>
        <w:jc w:val="both"/>
        <w:rPr>
          <w:rFonts w:ascii="Times New Roman" w:hAnsi="Times New Roman"/>
          <w:lang w:val="et-EE"/>
        </w:rPr>
      </w:pPr>
      <w:r>
        <w:rPr>
          <w:rFonts w:ascii="Times New Roman" w:hAnsi="Times New Roman"/>
          <w:lang w:val="et-EE"/>
        </w:rPr>
        <w:t xml:space="preserve">Et võrdsustada III sambas pensionifondis ja kindlustuslepingu alusel kogumise </w:t>
      </w:r>
      <w:r w:rsidR="00315348">
        <w:rPr>
          <w:rFonts w:ascii="Times New Roman" w:hAnsi="Times New Roman"/>
          <w:lang w:val="et-EE"/>
        </w:rPr>
        <w:t>tingimusi, täpsustatakse eelnõuga KoPS § 63 lõikes 5</w:t>
      </w:r>
      <w:r w:rsidR="00315348">
        <w:rPr>
          <w:rFonts w:ascii="Times New Roman" w:hAnsi="Times New Roman"/>
          <w:vertAlign w:val="superscript"/>
          <w:lang w:val="et-EE"/>
        </w:rPr>
        <w:t>2</w:t>
      </w:r>
      <w:r w:rsidR="00315348">
        <w:rPr>
          <w:rFonts w:ascii="Times New Roman" w:hAnsi="Times New Roman"/>
          <w:lang w:val="et-EE"/>
        </w:rPr>
        <w:t xml:space="preserve"> ning TuMS §-s 21, et erinevate III samba pensioniskeemide vahel liikumiseks (so vahetamiseks) saab kasutada ka kindlustuslepingu osalist väljamakset, mis kindlustusandja poolt siis pensionikoguja soovil tema mõnda teise III samba penisoniskeemi kantakse (so vabatahtlikku pensionifondi või teise täiendava kogumispensioni kindlustuslepingusse). </w:t>
      </w:r>
    </w:p>
    <w:p w14:paraId="314B70C3" w14:textId="77777777" w:rsidR="00315348" w:rsidRDefault="00315348" w:rsidP="00D32BED">
      <w:pPr>
        <w:jc w:val="both"/>
        <w:rPr>
          <w:rFonts w:ascii="Times New Roman" w:hAnsi="Times New Roman"/>
          <w:lang w:val="et-EE"/>
        </w:rPr>
      </w:pPr>
    </w:p>
    <w:p w14:paraId="77F2569B" w14:textId="2F0E4C20" w:rsidR="00E4696D" w:rsidRPr="00E4696D" w:rsidRDefault="00315348" w:rsidP="00D32BED">
      <w:pPr>
        <w:jc w:val="both"/>
        <w:rPr>
          <w:rFonts w:ascii="Times New Roman" w:hAnsi="Times New Roman"/>
          <w:lang w:val="et-EE"/>
        </w:rPr>
      </w:pPr>
      <w:r>
        <w:rPr>
          <w:rFonts w:ascii="Times New Roman" w:hAnsi="Times New Roman"/>
          <w:lang w:val="et-EE"/>
        </w:rPr>
        <w:t xml:space="preserve">Nii täpsustatakse </w:t>
      </w:r>
      <w:r w:rsidRPr="00315348">
        <w:rPr>
          <w:rFonts w:ascii="Times New Roman" w:hAnsi="Times New Roman"/>
          <w:u w:val="single"/>
          <w:lang w:val="et-EE"/>
        </w:rPr>
        <w:t>TuMS § 21 lõike 1</w:t>
      </w:r>
      <w:bookmarkStart w:id="6" w:name="_Hlk126764064"/>
      <w:r w:rsidR="00E4696D" w:rsidRPr="00315348">
        <w:rPr>
          <w:rFonts w:ascii="Times New Roman" w:hAnsi="Times New Roman"/>
          <w:u w:val="single"/>
          <w:vertAlign w:val="superscript"/>
          <w:lang w:val="et-EE"/>
        </w:rPr>
        <w:t>1</w:t>
      </w:r>
      <w:r w:rsidR="00E4696D" w:rsidRPr="00315348">
        <w:rPr>
          <w:rFonts w:ascii="Times New Roman" w:hAnsi="Times New Roman"/>
          <w:u w:val="single"/>
          <w:lang w:val="et-EE"/>
        </w:rPr>
        <w:t xml:space="preserve"> punkt</w:t>
      </w:r>
      <w:r w:rsidRPr="00315348">
        <w:rPr>
          <w:rFonts w:ascii="Times New Roman" w:hAnsi="Times New Roman"/>
          <w:u w:val="single"/>
          <w:lang w:val="et-EE"/>
        </w:rPr>
        <w:t>is</w:t>
      </w:r>
      <w:r w:rsidR="00E4696D" w:rsidRPr="00315348">
        <w:rPr>
          <w:rFonts w:ascii="Times New Roman" w:hAnsi="Times New Roman"/>
          <w:u w:val="single"/>
          <w:lang w:val="et-EE"/>
        </w:rPr>
        <w:t xml:space="preserve"> 1</w:t>
      </w:r>
      <w:r>
        <w:rPr>
          <w:rFonts w:ascii="Times New Roman" w:hAnsi="Times New Roman"/>
          <w:lang w:val="et-EE"/>
        </w:rPr>
        <w:t xml:space="preserve">, et väljamaksena ei käsitata ka KoPS </w:t>
      </w:r>
      <w:r w:rsidR="00E4696D" w:rsidRPr="00E4696D">
        <w:rPr>
          <w:rFonts w:ascii="Times New Roman" w:hAnsi="Times New Roman"/>
          <w:lang w:val="et-EE"/>
        </w:rPr>
        <w:t>§ 63 lõikes 5</w:t>
      </w:r>
      <w:r w:rsidR="00E4696D" w:rsidRPr="00E4696D">
        <w:rPr>
          <w:rFonts w:ascii="Times New Roman" w:hAnsi="Times New Roman"/>
          <w:vertAlign w:val="superscript"/>
          <w:lang w:val="et-EE"/>
        </w:rPr>
        <w:t>2</w:t>
      </w:r>
      <w:r w:rsidR="00E4696D" w:rsidRPr="00E4696D">
        <w:rPr>
          <w:rFonts w:ascii="Times New Roman" w:hAnsi="Times New Roman"/>
          <w:lang w:val="et-EE"/>
        </w:rPr>
        <w:t xml:space="preserve"> sätestatud tingimustele vastava</w:t>
      </w:r>
      <w:r>
        <w:rPr>
          <w:rFonts w:ascii="Times New Roman" w:hAnsi="Times New Roman"/>
          <w:lang w:val="et-EE"/>
        </w:rPr>
        <w:t>t</w:t>
      </w:r>
      <w:r w:rsidR="00E4696D" w:rsidRPr="00E4696D">
        <w:rPr>
          <w:rFonts w:ascii="Times New Roman" w:hAnsi="Times New Roman"/>
          <w:lang w:val="et-EE"/>
        </w:rPr>
        <w:t xml:space="preserve"> täiendava kogumispensioni kindlustuslepingu osalist väljamakset</w:t>
      </w:r>
      <w:r>
        <w:rPr>
          <w:rFonts w:ascii="Times New Roman" w:hAnsi="Times New Roman"/>
          <w:lang w:val="et-EE"/>
        </w:rPr>
        <w:t xml:space="preserve">. </w:t>
      </w:r>
      <w:r w:rsidR="00E4696D" w:rsidRPr="00E4696D">
        <w:rPr>
          <w:rFonts w:ascii="Times New Roman" w:hAnsi="Times New Roman"/>
          <w:lang w:val="et-EE"/>
        </w:rPr>
        <w:t xml:space="preserve"> </w:t>
      </w:r>
    </w:p>
    <w:p w14:paraId="26F17BE2" w14:textId="77777777" w:rsidR="00E4696D" w:rsidRDefault="00E4696D" w:rsidP="00D32BED">
      <w:pPr>
        <w:jc w:val="both"/>
        <w:rPr>
          <w:rFonts w:ascii="Times New Roman" w:hAnsi="Times New Roman"/>
          <w:lang w:val="et-EE"/>
        </w:rPr>
      </w:pPr>
    </w:p>
    <w:p w14:paraId="0A94B5A1" w14:textId="1EB7BF35" w:rsidR="00315348" w:rsidRDefault="00315348" w:rsidP="00D32BED">
      <w:pPr>
        <w:jc w:val="both"/>
        <w:rPr>
          <w:rFonts w:ascii="Times New Roman" w:hAnsi="Times New Roman"/>
          <w:lang w:val="et-EE"/>
        </w:rPr>
      </w:pPr>
      <w:r>
        <w:rPr>
          <w:rFonts w:ascii="Times New Roman" w:hAnsi="Times New Roman"/>
          <w:lang w:val="et-EE"/>
        </w:rPr>
        <w:t>Selleks, et III samba väljamaksed oleksid maksustatud 10% tulumaksuga, peab lisaks III samba pensioniea saabumisele olema täidetud ka tingimus, et vastavalt täiendava kogumispensioni kindlustuslepingu sõlmimisest või vabatahtliku pensionifondi osakute esmasest omandamisest peab olema möödunud vähemalt 5 aastat. Selle reegli rakendamist olukorras, kus vahepeal on liigutud ühest pensioniskeemist teise, reguleerivad omakorda TuMS § 21 lõiked 2</w:t>
      </w:r>
      <w:r>
        <w:rPr>
          <w:rFonts w:ascii="Times New Roman" w:hAnsi="Times New Roman"/>
          <w:vertAlign w:val="superscript"/>
          <w:lang w:val="et-EE"/>
        </w:rPr>
        <w:t>1</w:t>
      </w:r>
      <w:r>
        <w:rPr>
          <w:rFonts w:ascii="Times New Roman" w:hAnsi="Times New Roman"/>
          <w:lang w:val="et-EE"/>
        </w:rPr>
        <w:t xml:space="preserve"> ja 3</w:t>
      </w:r>
      <w:r>
        <w:rPr>
          <w:rFonts w:ascii="Times New Roman" w:hAnsi="Times New Roman"/>
          <w:vertAlign w:val="superscript"/>
          <w:lang w:val="et-EE"/>
        </w:rPr>
        <w:t>1</w:t>
      </w:r>
      <w:r>
        <w:rPr>
          <w:rFonts w:ascii="Times New Roman" w:hAnsi="Times New Roman"/>
          <w:lang w:val="et-EE"/>
        </w:rPr>
        <w:t xml:space="preserve">. Eelnõuga täpsustatakse, et kui </w:t>
      </w:r>
      <w:r w:rsidRPr="00315348">
        <w:rPr>
          <w:rFonts w:ascii="Times New Roman" w:hAnsi="Times New Roman"/>
          <w:lang w:val="et-EE"/>
        </w:rPr>
        <w:t xml:space="preserve">täiendava kogumispensioni kindlustuslepingu kindlustusmakse tasumiseks on kasutatud </w:t>
      </w:r>
      <w:r w:rsidR="00F715E0">
        <w:rPr>
          <w:rFonts w:ascii="Times New Roman" w:hAnsi="Times New Roman"/>
          <w:lang w:val="et-EE"/>
        </w:rPr>
        <w:t>KoPS</w:t>
      </w:r>
      <w:r w:rsidRPr="00315348">
        <w:rPr>
          <w:rFonts w:ascii="Times New Roman" w:hAnsi="Times New Roman"/>
          <w:lang w:val="et-EE"/>
        </w:rPr>
        <w:t xml:space="preserve"> § 63 lõike 5</w:t>
      </w:r>
      <w:r w:rsidRPr="00F715E0">
        <w:rPr>
          <w:rFonts w:ascii="Times New Roman" w:hAnsi="Times New Roman"/>
          <w:vertAlign w:val="superscript"/>
          <w:lang w:val="et-EE"/>
        </w:rPr>
        <w:t>2</w:t>
      </w:r>
      <w:r w:rsidRPr="00315348">
        <w:rPr>
          <w:rFonts w:ascii="Times New Roman" w:hAnsi="Times New Roman"/>
          <w:lang w:val="et-EE"/>
        </w:rPr>
        <w:t xml:space="preserve"> kohaselt</w:t>
      </w:r>
      <w:r w:rsidR="00F715E0">
        <w:rPr>
          <w:rFonts w:ascii="Times New Roman" w:hAnsi="Times New Roman"/>
          <w:lang w:val="et-EE"/>
        </w:rPr>
        <w:t xml:space="preserve"> teise lepingu osalist väljamakset</w:t>
      </w:r>
      <w:r w:rsidRPr="00315348">
        <w:rPr>
          <w:rFonts w:ascii="Times New Roman" w:hAnsi="Times New Roman"/>
          <w:lang w:val="et-EE"/>
        </w:rPr>
        <w:t>, arvestatakse viieaastast tähtaega nimetatud lepingutest varasema sõlmimisest arvates</w:t>
      </w:r>
      <w:r w:rsidR="00F715E0">
        <w:rPr>
          <w:rFonts w:ascii="Times New Roman" w:hAnsi="Times New Roman"/>
          <w:lang w:val="et-EE"/>
        </w:rPr>
        <w:t xml:space="preserve"> (</w:t>
      </w:r>
      <w:r w:rsidR="00F715E0" w:rsidRPr="00F715E0">
        <w:rPr>
          <w:rFonts w:ascii="Times New Roman" w:hAnsi="Times New Roman"/>
          <w:u w:val="single"/>
          <w:lang w:val="et-EE"/>
        </w:rPr>
        <w:t>lõige 2</w:t>
      </w:r>
      <w:r w:rsidR="00F715E0" w:rsidRPr="00F715E0">
        <w:rPr>
          <w:rFonts w:ascii="Times New Roman" w:hAnsi="Times New Roman"/>
          <w:u w:val="single"/>
          <w:vertAlign w:val="superscript"/>
          <w:lang w:val="et-EE"/>
        </w:rPr>
        <w:t>1</w:t>
      </w:r>
      <w:r w:rsidR="00F715E0" w:rsidRPr="00F715E0">
        <w:rPr>
          <w:rFonts w:ascii="Times New Roman" w:hAnsi="Times New Roman"/>
          <w:u w:val="single"/>
          <w:lang w:val="et-EE"/>
        </w:rPr>
        <w:t xml:space="preserve"> esimene lause</w:t>
      </w:r>
      <w:r w:rsidR="00F715E0">
        <w:rPr>
          <w:rFonts w:ascii="Times New Roman" w:hAnsi="Times New Roman"/>
          <w:lang w:val="et-EE"/>
        </w:rPr>
        <w:t>)</w:t>
      </w:r>
      <w:r w:rsidRPr="00315348">
        <w:rPr>
          <w:rFonts w:ascii="Times New Roman" w:hAnsi="Times New Roman"/>
          <w:lang w:val="et-EE"/>
        </w:rPr>
        <w:t xml:space="preserve">. </w:t>
      </w:r>
      <w:r w:rsidR="00F715E0">
        <w:rPr>
          <w:rFonts w:ascii="Times New Roman" w:hAnsi="Times New Roman"/>
          <w:lang w:val="et-EE"/>
        </w:rPr>
        <w:t xml:space="preserve">Samuti täpsustatakse vabatahtliku pensionifondi osakute esmase omandamise kontekstis, et kui </w:t>
      </w:r>
      <w:r w:rsidR="00F715E0" w:rsidRPr="00F715E0">
        <w:rPr>
          <w:rFonts w:ascii="Times New Roman" w:hAnsi="Times New Roman"/>
          <w:lang w:val="et-EE"/>
        </w:rPr>
        <w:t>osakud on omandatud</w:t>
      </w:r>
      <w:r w:rsidR="00F715E0">
        <w:rPr>
          <w:rFonts w:ascii="Times New Roman" w:hAnsi="Times New Roman"/>
          <w:lang w:val="et-EE"/>
        </w:rPr>
        <w:t xml:space="preserve"> KoPS </w:t>
      </w:r>
      <w:r w:rsidR="00F715E0" w:rsidRPr="00F715E0">
        <w:rPr>
          <w:rFonts w:ascii="Times New Roman" w:hAnsi="Times New Roman"/>
          <w:lang w:val="et-EE"/>
        </w:rPr>
        <w:t xml:space="preserve"> § 63 lõike 5</w:t>
      </w:r>
      <w:r w:rsidR="00F715E0" w:rsidRPr="00F715E0">
        <w:rPr>
          <w:rFonts w:ascii="Times New Roman" w:hAnsi="Times New Roman"/>
          <w:vertAlign w:val="superscript"/>
          <w:lang w:val="et-EE"/>
        </w:rPr>
        <w:t>2</w:t>
      </w:r>
      <w:r w:rsidR="00F715E0" w:rsidRPr="00F715E0">
        <w:rPr>
          <w:rFonts w:ascii="Times New Roman" w:hAnsi="Times New Roman"/>
          <w:lang w:val="et-EE"/>
        </w:rPr>
        <w:t xml:space="preserve"> kohaselt</w:t>
      </w:r>
      <w:r w:rsidR="00F715E0">
        <w:rPr>
          <w:rFonts w:ascii="Times New Roman" w:hAnsi="Times New Roman"/>
          <w:lang w:val="et-EE"/>
        </w:rPr>
        <w:t xml:space="preserve"> </w:t>
      </w:r>
      <w:r w:rsidR="00F715E0" w:rsidRPr="00F715E0">
        <w:rPr>
          <w:rFonts w:ascii="Times New Roman" w:hAnsi="Times New Roman"/>
          <w:lang w:val="et-EE"/>
        </w:rPr>
        <w:t>täiendava kogumispensioni kindlustuslepingu</w:t>
      </w:r>
      <w:r w:rsidR="00F715E0">
        <w:rPr>
          <w:rFonts w:ascii="Times New Roman" w:hAnsi="Times New Roman"/>
          <w:lang w:val="et-EE"/>
        </w:rPr>
        <w:t xml:space="preserve"> osalise väljamakse eest, ar</w:t>
      </w:r>
      <w:r w:rsidR="00F715E0" w:rsidRPr="00F715E0">
        <w:rPr>
          <w:rFonts w:ascii="Times New Roman" w:hAnsi="Times New Roman"/>
          <w:lang w:val="et-EE"/>
        </w:rPr>
        <w:t xml:space="preserve">vestatakse viieaastast tähtaega </w:t>
      </w:r>
      <w:r w:rsidR="00F715E0">
        <w:rPr>
          <w:rFonts w:ascii="Times New Roman" w:hAnsi="Times New Roman"/>
          <w:lang w:val="et-EE"/>
        </w:rPr>
        <w:t>selle le</w:t>
      </w:r>
      <w:r w:rsidR="00F715E0" w:rsidRPr="00F715E0">
        <w:rPr>
          <w:rFonts w:ascii="Times New Roman" w:hAnsi="Times New Roman"/>
          <w:lang w:val="et-EE"/>
        </w:rPr>
        <w:t>pingu sõlmimisest arvates, kui see toimus osakuomaniku poolt vabatahtliku pensionifondi osakute esmasest omandamisest varem</w:t>
      </w:r>
      <w:r w:rsidR="00F715E0">
        <w:rPr>
          <w:rFonts w:ascii="Times New Roman" w:hAnsi="Times New Roman"/>
          <w:lang w:val="et-EE"/>
        </w:rPr>
        <w:t xml:space="preserve"> (</w:t>
      </w:r>
      <w:r w:rsidR="00F715E0" w:rsidRPr="00F715E0">
        <w:rPr>
          <w:rFonts w:ascii="Times New Roman" w:hAnsi="Times New Roman"/>
          <w:u w:val="single"/>
          <w:lang w:val="et-EE"/>
        </w:rPr>
        <w:t>lõige 3</w:t>
      </w:r>
      <w:r w:rsidR="00F715E0" w:rsidRPr="00F715E0">
        <w:rPr>
          <w:rFonts w:ascii="Times New Roman" w:hAnsi="Times New Roman"/>
          <w:u w:val="single"/>
          <w:vertAlign w:val="superscript"/>
          <w:lang w:val="et-EE"/>
        </w:rPr>
        <w:t>1</w:t>
      </w:r>
      <w:r w:rsidR="00F715E0">
        <w:rPr>
          <w:rFonts w:ascii="Times New Roman" w:hAnsi="Times New Roman"/>
          <w:lang w:val="et-EE"/>
        </w:rPr>
        <w:t>)</w:t>
      </w:r>
      <w:r w:rsidR="00F715E0" w:rsidRPr="00F715E0">
        <w:rPr>
          <w:rFonts w:ascii="Times New Roman" w:hAnsi="Times New Roman"/>
          <w:lang w:val="et-EE"/>
        </w:rPr>
        <w:t>.</w:t>
      </w:r>
      <w:r w:rsidR="00F715E0">
        <w:rPr>
          <w:rFonts w:ascii="Times New Roman" w:hAnsi="Times New Roman"/>
          <w:lang w:val="et-EE"/>
        </w:rPr>
        <w:t xml:space="preserve"> Sama kehtib ka siis, kui ühest pensioniskeemist teise lastakse kanda ülesöeldud pensionilepingu tagastusväärtus (vt kehtivas sõnastuses TuMS § 21 lõikeid 2</w:t>
      </w:r>
      <w:r w:rsidR="00F715E0">
        <w:rPr>
          <w:rFonts w:ascii="Times New Roman" w:hAnsi="Times New Roman"/>
          <w:vertAlign w:val="superscript"/>
          <w:lang w:val="et-EE"/>
        </w:rPr>
        <w:t>1</w:t>
      </w:r>
      <w:r w:rsidR="00F715E0">
        <w:rPr>
          <w:rFonts w:ascii="Times New Roman" w:hAnsi="Times New Roman"/>
          <w:lang w:val="et-EE"/>
        </w:rPr>
        <w:t xml:space="preserve"> ja 3</w:t>
      </w:r>
      <w:r w:rsidR="00F715E0">
        <w:rPr>
          <w:rFonts w:ascii="Times New Roman" w:hAnsi="Times New Roman"/>
          <w:vertAlign w:val="superscript"/>
          <w:lang w:val="et-EE"/>
        </w:rPr>
        <w:t>1</w:t>
      </w:r>
      <w:r w:rsidR="00F715E0">
        <w:rPr>
          <w:rFonts w:ascii="Times New Roman" w:hAnsi="Times New Roman"/>
          <w:lang w:val="et-EE"/>
        </w:rPr>
        <w:t xml:space="preserve">). </w:t>
      </w:r>
    </w:p>
    <w:p w14:paraId="78592637" w14:textId="77777777" w:rsidR="0011144D" w:rsidRPr="00E4696D" w:rsidRDefault="0011144D" w:rsidP="00D32BED">
      <w:pPr>
        <w:jc w:val="both"/>
        <w:rPr>
          <w:rFonts w:ascii="Times New Roman" w:hAnsi="Times New Roman"/>
          <w:lang w:val="et-EE"/>
        </w:rPr>
      </w:pPr>
    </w:p>
    <w:p w14:paraId="4E0703FD" w14:textId="1C1BE064" w:rsidR="00E4696D" w:rsidRPr="00E4696D" w:rsidRDefault="006F334C" w:rsidP="00D32BED">
      <w:pPr>
        <w:jc w:val="both"/>
        <w:rPr>
          <w:rFonts w:ascii="Times New Roman" w:hAnsi="Times New Roman"/>
          <w:lang w:val="et-EE"/>
        </w:rPr>
      </w:pPr>
      <w:r>
        <w:rPr>
          <w:rFonts w:ascii="Times New Roman" w:hAnsi="Times New Roman"/>
          <w:b/>
          <w:bCs/>
          <w:lang w:val="et-EE"/>
        </w:rPr>
        <w:t xml:space="preserve">3.6. Eelnõu </w:t>
      </w:r>
      <w:r w:rsidR="00E4696D" w:rsidRPr="00E4696D">
        <w:rPr>
          <w:rFonts w:ascii="Times New Roman" w:hAnsi="Times New Roman"/>
          <w:b/>
          <w:bCs/>
          <w:lang w:val="et-EE"/>
        </w:rPr>
        <w:t>§ 6</w:t>
      </w:r>
      <w:r>
        <w:rPr>
          <w:rFonts w:ascii="Times New Roman" w:hAnsi="Times New Roman"/>
          <w:b/>
          <w:bCs/>
          <w:lang w:val="et-EE"/>
        </w:rPr>
        <w:t xml:space="preserve"> –</w:t>
      </w:r>
      <w:r w:rsidR="00E4696D" w:rsidRPr="00E4696D">
        <w:rPr>
          <w:rFonts w:ascii="Times New Roman" w:hAnsi="Times New Roman"/>
          <w:b/>
          <w:bCs/>
          <w:lang w:val="et-EE"/>
        </w:rPr>
        <w:t xml:space="preserve"> </w:t>
      </w:r>
      <w:r>
        <w:rPr>
          <w:rFonts w:ascii="Times New Roman" w:hAnsi="Times New Roman"/>
          <w:b/>
          <w:bCs/>
          <w:lang w:val="et-EE"/>
        </w:rPr>
        <w:t>v</w:t>
      </w:r>
      <w:r w:rsidR="00E4696D" w:rsidRPr="00E4696D">
        <w:rPr>
          <w:rFonts w:ascii="Times New Roman" w:hAnsi="Times New Roman"/>
          <w:b/>
          <w:bCs/>
          <w:lang w:val="et-EE"/>
        </w:rPr>
        <w:t>äärtpaberituru seaduse muutmine</w:t>
      </w:r>
    </w:p>
    <w:p w14:paraId="3AADE6D2" w14:textId="6C0F3539" w:rsidR="006F334C" w:rsidRDefault="00E4696D" w:rsidP="00D32BED">
      <w:pPr>
        <w:jc w:val="both"/>
        <w:rPr>
          <w:rFonts w:ascii="Times New Roman" w:hAnsi="Times New Roman"/>
          <w:lang w:val="et-EE"/>
        </w:rPr>
      </w:pPr>
      <w:r w:rsidRPr="006F334C">
        <w:rPr>
          <w:rFonts w:ascii="Times New Roman" w:hAnsi="Times New Roman"/>
          <w:b/>
          <w:bCs/>
          <w:lang w:val="et-EE"/>
        </w:rPr>
        <w:t>V</w:t>
      </w:r>
      <w:r w:rsidR="00E757EF">
        <w:rPr>
          <w:rFonts w:ascii="Times New Roman" w:hAnsi="Times New Roman"/>
          <w:b/>
          <w:bCs/>
          <w:lang w:val="et-EE"/>
        </w:rPr>
        <w:t>P</w:t>
      </w:r>
      <w:r w:rsidR="006F334C" w:rsidRPr="006F334C">
        <w:rPr>
          <w:rFonts w:ascii="Times New Roman" w:hAnsi="Times New Roman"/>
          <w:b/>
          <w:bCs/>
          <w:lang w:val="et-EE"/>
        </w:rPr>
        <w:t>TS § 237</w:t>
      </w:r>
      <w:r w:rsidR="006F334C" w:rsidRPr="006F334C">
        <w:rPr>
          <w:rFonts w:ascii="Times New Roman" w:hAnsi="Times New Roman"/>
          <w:b/>
          <w:bCs/>
          <w:vertAlign w:val="superscript"/>
          <w:lang w:val="et-EE"/>
        </w:rPr>
        <w:t>88</w:t>
      </w:r>
      <w:r w:rsidR="006F334C">
        <w:rPr>
          <w:rFonts w:ascii="Times New Roman" w:hAnsi="Times New Roman"/>
          <w:lang w:val="et-EE"/>
        </w:rPr>
        <w:t>. Eelnõuga muudetakse paragrahvis sätestatud väärteokaristuste piirmäärasid. Paragrahv reguleerib PEPPi määruse</w:t>
      </w:r>
      <w:r w:rsidR="006F334C" w:rsidRPr="00B667CD">
        <w:rPr>
          <w:rFonts w:ascii="Times New Roman" w:hAnsi="Times New Roman"/>
          <w:lang w:val="et-EE"/>
        </w:rPr>
        <w:t xml:space="preserve"> nõuete rikkumi</w:t>
      </w:r>
      <w:r w:rsidR="006F334C">
        <w:rPr>
          <w:rFonts w:ascii="Times New Roman" w:hAnsi="Times New Roman"/>
          <w:lang w:val="et-EE"/>
        </w:rPr>
        <w:t xml:space="preserve">sega kaasnevaid rahatrahve. Rahatrahviga </w:t>
      </w:r>
      <w:r w:rsidR="006F334C">
        <w:rPr>
          <w:rFonts w:ascii="Times New Roman" w:hAnsi="Times New Roman"/>
          <w:lang w:val="et-EE"/>
        </w:rPr>
        <w:lastRenderedPageBreak/>
        <w:t xml:space="preserve">karistatakse PEPPi määruse </w:t>
      </w:r>
      <w:r w:rsidR="006F334C" w:rsidRPr="00B667CD">
        <w:rPr>
          <w:rFonts w:ascii="Times New Roman" w:hAnsi="Times New Roman"/>
          <w:lang w:val="et-EE"/>
        </w:rPr>
        <w:t xml:space="preserve">artikli 5 lõikes 1 ning artiklites 6, 7, </w:t>
      </w:r>
      <w:r w:rsidR="006F334C">
        <w:rPr>
          <w:rFonts w:ascii="Times New Roman" w:hAnsi="Times New Roman"/>
          <w:lang w:val="et-EE"/>
        </w:rPr>
        <w:t>1</w:t>
      </w:r>
      <w:r w:rsidR="006F334C" w:rsidRPr="006F334C">
        <w:rPr>
          <w:rFonts w:ascii="Times New Roman" w:hAnsi="Times New Roman"/>
          <w:lang w:val="et-EE"/>
        </w:rPr>
        <w:t>8–48, 50 ja 52–56 s</w:t>
      </w:r>
      <w:r w:rsidR="006F334C" w:rsidRPr="00B667CD">
        <w:rPr>
          <w:rFonts w:ascii="Times New Roman" w:hAnsi="Times New Roman"/>
          <w:lang w:val="et-EE"/>
        </w:rPr>
        <w:t>ätestatud nõuete rikkumise eest</w:t>
      </w:r>
      <w:r w:rsidR="006F334C">
        <w:rPr>
          <w:rFonts w:ascii="Times New Roman" w:hAnsi="Times New Roman"/>
          <w:lang w:val="et-EE"/>
        </w:rPr>
        <w:t xml:space="preserve">. Normid tuginevad PEPPi määruse artikli </w:t>
      </w:r>
      <w:r w:rsidR="006F334C" w:rsidRPr="00B667CD">
        <w:rPr>
          <w:rFonts w:ascii="Times New Roman" w:hAnsi="Times New Roman"/>
          <w:lang w:val="et-EE"/>
        </w:rPr>
        <w:t>67 punkt</w:t>
      </w:r>
      <w:r w:rsidR="006F334C">
        <w:rPr>
          <w:rFonts w:ascii="Times New Roman" w:hAnsi="Times New Roman"/>
          <w:lang w:val="et-EE"/>
        </w:rPr>
        <w:t>ile</w:t>
      </w:r>
      <w:r w:rsidR="006F334C" w:rsidRPr="00B667CD">
        <w:rPr>
          <w:rFonts w:ascii="Times New Roman" w:hAnsi="Times New Roman"/>
          <w:lang w:val="et-EE"/>
        </w:rPr>
        <w:t xml:space="preserve"> 2</w:t>
      </w:r>
      <w:r w:rsidR="006F334C">
        <w:rPr>
          <w:rFonts w:ascii="Times New Roman" w:hAnsi="Times New Roman"/>
          <w:lang w:val="et-EE"/>
        </w:rPr>
        <w:t xml:space="preserve">, mille kohaselt tuleb </w:t>
      </w:r>
      <w:r w:rsidR="006F334C" w:rsidRPr="00B667CD">
        <w:rPr>
          <w:rFonts w:ascii="Times New Roman" w:hAnsi="Times New Roman"/>
          <w:lang w:val="et-EE"/>
        </w:rPr>
        <w:t>liikmesrii</w:t>
      </w:r>
      <w:r w:rsidR="006F334C">
        <w:rPr>
          <w:rFonts w:ascii="Times New Roman" w:hAnsi="Times New Roman"/>
          <w:lang w:val="et-EE"/>
        </w:rPr>
        <w:t xml:space="preserve">kidel </w:t>
      </w:r>
      <w:r w:rsidR="006F334C" w:rsidRPr="00B667CD">
        <w:rPr>
          <w:rFonts w:ascii="Times New Roman" w:hAnsi="Times New Roman"/>
          <w:lang w:val="et-EE"/>
        </w:rPr>
        <w:t>ette näh</w:t>
      </w:r>
      <w:r w:rsidR="006F334C">
        <w:rPr>
          <w:rFonts w:ascii="Times New Roman" w:hAnsi="Times New Roman"/>
          <w:lang w:val="et-EE"/>
        </w:rPr>
        <w:t>a</w:t>
      </w:r>
      <w:r w:rsidR="006F334C" w:rsidRPr="00B667CD">
        <w:rPr>
          <w:rFonts w:ascii="Times New Roman" w:hAnsi="Times New Roman"/>
          <w:lang w:val="et-EE"/>
        </w:rPr>
        <w:t xml:space="preserve"> karistused ja muud haldusmeetmed</w:t>
      </w:r>
      <w:r w:rsidR="006F334C">
        <w:rPr>
          <w:rFonts w:ascii="Times New Roman" w:hAnsi="Times New Roman"/>
          <w:lang w:val="et-EE"/>
        </w:rPr>
        <w:t xml:space="preserve">, ja arvestavad millised </w:t>
      </w:r>
      <w:r w:rsidR="00D36564">
        <w:rPr>
          <w:rFonts w:ascii="Times New Roman" w:hAnsi="Times New Roman"/>
          <w:lang w:val="et-EE"/>
        </w:rPr>
        <w:t>määruses</w:t>
      </w:r>
      <w:r w:rsidR="006F334C">
        <w:rPr>
          <w:rFonts w:ascii="Times New Roman" w:hAnsi="Times New Roman"/>
          <w:lang w:val="et-EE"/>
        </w:rPr>
        <w:t xml:space="preserve"> viidatud nõuetest investeerimisühingule kohalduvad. Eelnõuga tõstetakse trahvimäärad samal tasemele, nagu seda tehti muude finantssekori väärteokaristuste puhul PEPPi määruse ülevõtmisega samal ajal aset leidnud finantssektori väärteokaristuste reformi käigus (</w:t>
      </w:r>
      <w:r w:rsidR="006F334C" w:rsidRPr="00B667CD">
        <w:rPr>
          <w:rFonts w:ascii="Times New Roman" w:hAnsi="Times New Roman"/>
          <w:lang w:val="et-EE"/>
        </w:rPr>
        <w:t>audiitortegevuse seaduse, finantskriisi ennetamise ja lahendamise seaduse ning teiste seaduste muutmise seadus</w:t>
      </w:r>
      <w:r w:rsidR="006F334C">
        <w:rPr>
          <w:rFonts w:ascii="Times New Roman" w:hAnsi="Times New Roman"/>
          <w:lang w:val="et-EE"/>
        </w:rPr>
        <w:t>, mis</w:t>
      </w:r>
      <w:r w:rsidR="006F334C" w:rsidRPr="00B667CD">
        <w:rPr>
          <w:rFonts w:ascii="Times New Roman" w:hAnsi="Times New Roman"/>
          <w:lang w:val="et-EE"/>
        </w:rPr>
        <w:t xml:space="preserve"> jõustu</w:t>
      </w:r>
      <w:r w:rsidR="006F334C">
        <w:rPr>
          <w:rFonts w:ascii="Times New Roman" w:hAnsi="Times New Roman"/>
          <w:lang w:val="et-EE"/>
        </w:rPr>
        <w:t>s</w:t>
      </w:r>
      <w:r w:rsidR="006F334C" w:rsidRPr="00B667CD">
        <w:rPr>
          <w:rFonts w:ascii="Times New Roman" w:hAnsi="Times New Roman"/>
          <w:lang w:val="et-EE"/>
        </w:rPr>
        <w:t xml:space="preserve"> 2023. aasta 1. novembril</w:t>
      </w:r>
      <w:r w:rsidR="006F334C">
        <w:rPr>
          <w:rFonts w:ascii="Times New Roman" w:hAnsi="Times New Roman"/>
          <w:lang w:val="et-EE"/>
        </w:rPr>
        <w:t xml:space="preserve">). Rahatrahvi piirmäärad tõusevad nii füüsilise kui juriidilise isiku puhul </w:t>
      </w:r>
      <w:r w:rsidR="006F334C" w:rsidRPr="00E4696D">
        <w:rPr>
          <w:rFonts w:ascii="Times New Roman" w:hAnsi="Times New Roman"/>
          <w:lang w:val="et-EE"/>
        </w:rPr>
        <w:t>5 000 000 euro</w:t>
      </w:r>
      <w:r w:rsidR="006F334C">
        <w:rPr>
          <w:rFonts w:ascii="Times New Roman" w:hAnsi="Times New Roman"/>
          <w:lang w:val="et-EE"/>
        </w:rPr>
        <w:t>le</w:t>
      </w:r>
      <w:r w:rsidR="006F334C" w:rsidRPr="00E4696D">
        <w:rPr>
          <w:rFonts w:ascii="Times New Roman" w:hAnsi="Times New Roman"/>
          <w:lang w:val="et-EE"/>
        </w:rPr>
        <w:t xml:space="preserve"> või kuni kahekordse</w:t>
      </w:r>
      <w:r w:rsidR="006F334C">
        <w:rPr>
          <w:rFonts w:ascii="Times New Roman" w:hAnsi="Times New Roman"/>
          <w:lang w:val="et-EE"/>
        </w:rPr>
        <w:t>le</w:t>
      </w:r>
      <w:r w:rsidR="006F334C" w:rsidRPr="00E4696D">
        <w:rPr>
          <w:rFonts w:ascii="Times New Roman" w:hAnsi="Times New Roman"/>
          <w:lang w:val="et-EE"/>
        </w:rPr>
        <w:t xml:space="preserve"> väärteo tulemusel teenitud kasule või ära hoitud kahjule vastava</w:t>
      </w:r>
      <w:r w:rsidR="006F334C">
        <w:rPr>
          <w:rFonts w:ascii="Times New Roman" w:hAnsi="Times New Roman"/>
          <w:lang w:val="et-EE"/>
        </w:rPr>
        <w:t>le</w:t>
      </w:r>
      <w:r w:rsidR="006F334C" w:rsidRPr="00E4696D">
        <w:rPr>
          <w:rFonts w:ascii="Times New Roman" w:hAnsi="Times New Roman"/>
          <w:lang w:val="et-EE"/>
        </w:rPr>
        <w:t xml:space="preserve"> summa</w:t>
      </w:r>
      <w:r w:rsidR="006F334C">
        <w:rPr>
          <w:rFonts w:ascii="Times New Roman" w:hAnsi="Times New Roman"/>
          <w:lang w:val="et-EE"/>
        </w:rPr>
        <w:t xml:space="preserve">le või juriidilise isiku puhul </w:t>
      </w:r>
      <w:r w:rsidR="006F334C" w:rsidRPr="003A45C8">
        <w:rPr>
          <w:rFonts w:ascii="Times New Roman" w:hAnsi="Times New Roman"/>
          <w:lang w:val="et-EE"/>
        </w:rPr>
        <w:t>kuni küm</w:t>
      </w:r>
      <w:r w:rsidR="006F334C">
        <w:rPr>
          <w:rFonts w:ascii="Times New Roman" w:hAnsi="Times New Roman"/>
          <w:lang w:val="et-EE"/>
        </w:rPr>
        <w:t>n</w:t>
      </w:r>
      <w:r w:rsidR="006F334C" w:rsidRPr="003A45C8">
        <w:rPr>
          <w:rFonts w:ascii="Times New Roman" w:hAnsi="Times New Roman"/>
          <w:lang w:val="et-EE"/>
        </w:rPr>
        <w:t>e</w:t>
      </w:r>
      <w:r w:rsidR="006F334C">
        <w:rPr>
          <w:rFonts w:ascii="Times New Roman" w:hAnsi="Times New Roman"/>
          <w:lang w:val="et-EE"/>
        </w:rPr>
        <w:t>le</w:t>
      </w:r>
      <w:r w:rsidR="006F334C" w:rsidRPr="003A45C8">
        <w:rPr>
          <w:rFonts w:ascii="Times New Roman" w:hAnsi="Times New Roman"/>
          <w:lang w:val="et-EE"/>
        </w:rPr>
        <w:t xml:space="preserve"> protsen</w:t>
      </w:r>
      <w:r w:rsidR="006F334C">
        <w:rPr>
          <w:rFonts w:ascii="Times New Roman" w:hAnsi="Times New Roman"/>
          <w:lang w:val="et-EE"/>
        </w:rPr>
        <w:t>d</w:t>
      </w:r>
      <w:r w:rsidR="006F334C" w:rsidRPr="003A45C8">
        <w:rPr>
          <w:rFonts w:ascii="Times New Roman" w:hAnsi="Times New Roman"/>
          <w:lang w:val="et-EE"/>
        </w:rPr>
        <w:t>i</w:t>
      </w:r>
      <w:r w:rsidR="006F334C">
        <w:rPr>
          <w:rFonts w:ascii="Times New Roman" w:hAnsi="Times New Roman"/>
          <w:lang w:val="et-EE"/>
        </w:rPr>
        <w:t>le</w:t>
      </w:r>
      <w:r w:rsidR="006F334C" w:rsidRPr="003A45C8">
        <w:rPr>
          <w:rFonts w:ascii="Times New Roman" w:hAnsi="Times New Roman"/>
          <w:lang w:val="et-EE"/>
        </w:rPr>
        <w:t xml:space="preserve"> juriidilise isiku või tema konsolideerimisgrupi konsolideeritud käibest. </w:t>
      </w:r>
      <w:r w:rsidR="006F334C">
        <w:rPr>
          <w:rFonts w:ascii="Times New Roman" w:hAnsi="Times New Roman"/>
          <w:lang w:val="et-EE"/>
        </w:rPr>
        <w:t>Vt ka IFS § 503</w:t>
      </w:r>
      <w:r w:rsidR="006F334C">
        <w:rPr>
          <w:rFonts w:ascii="Times New Roman" w:hAnsi="Times New Roman"/>
          <w:vertAlign w:val="superscript"/>
          <w:lang w:val="et-EE"/>
        </w:rPr>
        <w:t>3</w:t>
      </w:r>
      <w:r w:rsidR="006F334C">
        <w:rPr>
          <w:rFonts w:ascii="Times New Roman" w:hAnsi="Times New Roman"/>
          <w:lang w:val="et-EE"/>
        </w:rPr>
        <w:t xml:space="preserve"> muutmise selgitust.</w:t>
      </w:r>
    </w:p>
    <w:p w14:paraId="7DC95EF7" w14:textId="1FC500BA" w:rsidR="00C00608" w:rsidRDefault="00C00608" w:rsidP="00D32BED">
      <w:pPr>
        <w:jc w:val="both"/>
        <w:rPr>
          <w:rFonts w:ascii="Times New Roman" w:hAnsi="Times New Roman"/>
          <w:lang w:val="et-EE"/>
        </w:rPr>
      </w:pPr>
    </w:p>
    <w:p w14:paraId="3C13D99A" w14:textId="499D3B1E" w:rsidR="00CD437B" w:rsidRPr="00D57133" w:rsidRDefault="00C00608" w:rsidP="00CD437B">
      <w:pPr>
        <w:jc w:val="both"/>
        <w:rPr>
          <w:rFonts w:ascii="Times New Roman" w:hAnsi="Times New Roman"/>
          <w:lang w:val="et-EE"/>
        </w:rPr>
      </w:pPr>
      <w:r>
        <w:rPr>
          <w:rFonts w:ascii="Times New Roman" w:hAnsi="Times New Roman"/>
          <w:lang w:val="et-EE"/>
        </w:rPr>
        <w:t>Mida on silmas peetud juriidilise isiku ja konsolideerimisgrupi käivete all, on täpsustatud VpTS §-s 262</w:t>
      </w:r>
      <w:r>
        <w:rPr>
          <w:rFonts w:ascii="Times New Roman" w:hAnsi="Times New Roman"/>
          <w:vertAlign w:val="superscript"/>
          <w:lang w:val="et-EE"/>
        </w:rPr>
        <w:t>1</w:t>
      </w:r>
      <w:r>
        <w:rPr>
          <w:rFonts w:ascii="Times New Roman" w:hAnsi="Times New Roman"/>
          <w:lang w:val="et-EE"/>
        </w:rPr>
        <w:t xml:space="preserve">. Vastavalt PEPPi määruse artikkel 67 punktile (3) e) peetakse </w:t>
      </w:r>
      <w:r w:rsidRPr="00C00608">
        <w:rPr>
          <w:rFonts w:ascii="Times New Roman" w:hAnsi="Times New Roman"/>
          <w:lang w:val="et-EE"/>
        </w:rPr>
        <w:t>PEPPi kontekstis rahatrahvi määra mõjutava käibe all silmas VPTS § 262</w:t>
      </w:r>
      <w:r w:rsidRPr="00C00608">
        <w:rPr>
          <w:rFonts w:ascii="Times New Roman" w:hAnsi="Times New Roman"/>
          <w:vertAlign w:val="superscript"/>
          <w:lang w:val="et-EE"/>
        </w:rPr>
        <w:t>1</w:t>
      </w:r>
      <w:r w:rsidRPr="00C00608">
        <w:rPr>
          <w:rFonts w:ascii="Times New Roman" w:hAnsi="Times New Roman"/>
          <w:lang w:val="et-EE"/>
        </w:rPr>
        <w:t xml:space="preserve"> lõikes 1 sätestatud käivet</w:t>
      </w:r>
      <w:r>
        <w:rPr>
          <w:rFonts w:ascii="Times New Roman" w:hAnsi="Times New Roman"/>
          <w:lang w:val="et-EE"/>
        </w:rPr>
        <w:t>, mistõttu ei ole ka viidet VpTS §-le 237</w:t>
      </w:r>
      <w:r>
        <w:rPr>
          <w:rFonts w:ascii="Times New Roman" w:hAnsi="Times New Roman"/>
          <w:vertAlign w:val="superscript"/>
          <w:lang w:val="et-EE"/>
        </w:rPr>
        <w:t xml:space="preserve">88 </w:t>
      </w:r>
      <w:r>
        <w:rPr>
          <w:rFonts w:ascii="Times New Roman" w:hAnsi="Times New Roman"/>
          <w:lang w:val="et-EE"/>
        </w:rPr>
        <w:t>lisatud § 262</w:t>
      </w:r>
      <w:r>
        <w:rPr>
          <w:rFonts w:ascii="Times New Roman" w:hAnsi="Times New Roman"/>
          <w:vertAlign w:val="superscript"/>
          <w:lang w:val="et-EE"/>
        </w:rPr>
        <w:t>1</w:t>
      </w:r>
      <w:r>
        <w:rPr>
          <w:rFonts w:ascii="Times New Roman" w:hAnsi="Times New Roman"/>
          <w:lang w:val="et-EE"/>
        </w:rPr>
        <w:t xml:space="preserve"> lõigetes 2 või 3 esitatud loeteludesse.</w:t>
      </w:r>
    </w:p>
    <w:p w14:paraId="6AA6E4A3" w14:textId="77777777" w:rsidR="00CD437B" w:rsidRDefault="00CD437B" w:rsidP="00D32BED">
      <w:pPr>
        <w:jc w:val="both"/>
        <w:rPr>
          <w:rFonts w:ascii="Times New Roman" w:hAnsi="Times New Roman"/>
          <w:lang w:val="et-EE"/>
        </w:rPr>
      </w:pPr>
    </w:p>
    <w:p w14:paraId="4CABF55E" w14:textId="23A48AB3" w:rsidR="00E4696D" w:rsidRPr="00E4696D" w:rsidRDefault="006F334C" w:rsidP="00D32BED">
      <w:pPr>
        <w:jc w:val="both"/>
        <w:rPr>
          <w:rFonts w:ascii="Times New Roman" w:hAnsi="Times New Roman"/>
          <w:lang w:val="et-EE"/>
        </w:rPr>
      </w:pPr>
      <w:r>
        <w:rPr>
          <w:rFonts w:ascii="Times New Roman" w:hAnsi="Times New Roman"/>
          <w:b/>
          <w:bCs/>
          <w:lang w:val="et-EE"/>
        </w:rPr>
        <w:t>V</w:t>
      </w:r>
      <w:r w:rsidR="00E757EF">
        <w:rPr>
          <w:rFonts w:ascii="Times New Roman" w:hAnsi="Times New Roman"/>
          <w:b/>
          <w:bCs/>
          <w:lang w:val="et-EE"/>
        </w:rPr>
        <w:t>P</w:t>
      </w:r>
      <w:r>
        <w:rPr>
          <w:rFonts w:ascii="Times New Roman" w:hAnsi="Times New Roman"/>
          <w:b/>
          <w:bCs/>
          <w:lang w:val="et-EE"/>
        </w:rPr>
        <w:t xml:space="preserve">TS täiendamine </w:t>
      </w:r>
      <w:r w:rsidR="00E4696D" w:rsidRPr="00E4696D">
        <w:rPr>
          <w:rFonts w:ascii="Times New Roman" w:hAnsi="Times New Roman"/>
          <w:lang w:val="et-EE"/>
        </w:rPr>
        <w:t>normitehnilis</w:t>
      </w:r>
      <w:r>
        <w:rPr>
          <w:rFonts w:ascii="Times New Roman" w:hAnsi="Times New Roman"/>
          <w:lang w:val="et-EE"/>
        </w:rPr>
        <w:t>e</w:t>
      </w:r>
      <w:r w:rsidR="00E4696D" w:rsidRPr="00E4696D">
        <w:rPr>
          <w:rFonts w:ascii="Times New Roman" w:hAnsi="Times New Roman"/>
          <w:lang w:val="et-EE"/>
        </w:rPr>
        <w:t xml:space="preserve"> märkus</w:t>
      </w:r>
      <w:r>
        <w:rPr>
          <w:rFonts w:ascii="Times New Roman" w:hAnsi="Times New Roman"/>
          <w:lang w:val="et-EE"/>
        </w:rPr>
        <w:t>ega. Eelnõuga lisatakse V</w:t>
      </w:r>
      <w:r w:rsidR="00E757EF">
        <w:rPr>
          <w:rFonts w:ascii="Times New Roman" w:hAnsi="Times New Roman"/>
          <w:lang w:val="et-EE"/>
        </w:rPr>
        <w:t>P</w:t>
      </w:r>
      <w:r>
        <w:rPr>
          <w:rFonts w:ascii="Times New Roman" w:hAnsi="Times New Roman"/>
          <w:lang w:val="et-EE"/>
        </w:rPr>
        <w:t>TSi normitehniline märkus, mis on varasemalt jäänud lisamata k</w:t>
      </w:r>
      <w:r w:rsidR="00E4696D" w:rsidRPr="00E4696D">
        <w:rPr>
          <w:rFonts w:ascii="Times New Roman" w:hAnsi="Times New Roman"/>
          <w:lang w:val="et-EE"/>
        </w:rPr>
        <w:t>omisjoni delegeeritud direktiiv</w:t>
      </w:r>
      <w:r>
        <w:rPr>
          <w:rFonts w:ascii="Times New Roman" w:hAnsi="Times New Roman"/>
          <w:lang w:val="et-EE"/>
        </w:rPr>
        <w:t>i</w:t>
      </w:r>
      <w:r w:rsidR="00E4696D" w:rsidRPr="00E4696D">
        <w:rPr>
          <w:rFonts w:ascii="Times New Roman" w:hAnsi="Times New Roman"/>
          <w:lang w:val="et-EE"/>
        </w:rPr>
        <w:t xml:space="preserve"> (EL) 2021/1269, millega muudetakse delegeeritud direktiivi (EL) 2017/593 seoses jätkusuutlikkustegurite arvestamise lõimimisega tootejuhtimiskohustustesse (ELT L 277, 2.8.2021, lk 137–40)</w:t>
      </w:r>
      <w:r>
        <w:rPr>
          <w:rFonts w:ascii="Times New Roman" w:hAnsi="Times New Roman"/>
          <w:lang w:val="et-EE"/>
        </w:rPr>
        <w:t xml:space="preserve">, ülevõtmisel. </w:t>
      </w:r>
    </w:p>
    <w:bookmarkEnd w:id="6"/>
    <w:bookmarkEnd w:id="4"/>
    <w:p w14:paraId="7F3302A6" w14:textId="77777777" w:rsidR="00D349D3" w:rsidRPr="00E4696D" w:rsidRDefault="00D349D3" w:rsidP="00D32BED">
      <w:pPr>
        <w:shd w:val="clear" w:color="auto" w:fill="FFFFFF"/>
        <w:jc w:val="both"/>
        <w:rPr>
          <w:rFonts w:ascii="Times New Roman" w:hAnsi="Times New Roman"/>
          <w:u w:color="0000FF"/>
          <w:lang w:val="et-EE"/>
        </w:rPr>
      </w:pPr>
    </w:p>
    <w:p w14:paraId="7AFCE93E" w14:textId="4B444FF9" w:rsidR="001657FC" w:rsidRPr="00E4696D" w:rsidRDefault="001657FC" w:rsidP="00D32BED">
      <w:pPr>
        <w:widowControl w:val="0"/>
        <w:autoSpaceDE w:val="0"/>
        <w:autoSpaceDN w:val="0"/>
        <w:adjustRightInd w:val="0"/>
        <w:jc w:val="both"/>
        <w:rPr>
          <w:rFonts w:ascii="Times New Roman" w:hAnsi="Times New Roman"/>
          <w:b/>
          <w:bCs/>
          <w:u w:color="0000FF"/>
          <w:lang w:val="et-EE"/>
        </w:rPr>
      </w:pPr>
      <w:r w:rsidRPr="00E4696D">
        <w:rPr>
          <w:rFonts w:ascii="Times New Roman" w:hAnsi="Times New Roman"/>
          <w:b/>
          <w:bCs/>
          <w:u w:color="0000FF"/>
          <w:lang w:val="et-EE"/>
        </w:rPr>
        <w:t>3.</w:t>
      </w:r>
      <w:r w:rsidR="00EC2128">
        <w:rPr>
          <w:rFonts w:ascii="Times New Roman" w:hAnsi="Times New Roman"/>
          <w:b/>
          <w:bCs/>
          <w:u w:color="0000FF"/>
          <w:lang w:val="et-EE"/>
        </w:rPr>
        <w:t>7</w:t>
      </w:r>
      <w:r w:rsidRPr="00E4696D">
        <w:rPr>
          <w:rFonts w:ascii="Times New Roman" w:hAnsi="Times New Roman"/>
          <w:b/>
          <w:bCs/>
          <w:u w:color="0000FF"/>
          <w:lang w:val="et-EE"/>
        </w:rPr>
        <w:t xml:space="preserve">. Eelnõu § </w:t>
      </w:r>
      <w:r w:rsidR="00E4696D" w:rsidRPr="00E4696D">
        <w:rPr>
          <w:rFonts w:ascii="Times New Roman" w:hAnsi="Times New Roman"/>
          <w:b/>
          <w:bCs/>
          <w:u w:color="0000FF"/>
          <w:lang w:val="et-EE"/>
        </w:rPr>
        <w:t>7</w:t>
      </w:r>
      <w:r w:rsidRPr="00E4696D">
        <w:rPr>
          <w:rFonts w:ascii="Times New Roman" w:hAnsi="Times New Roman"/>
          <w:b/>
          <w:bCs/>
          <w:u w:color="0000FF"/>
          <w:lang w:val="et-EE"/>
        </w:rPr>
        <w:t xml:space="preserve"> – </w:t>
      </w:r>
      <w:r w:rsidR="00175851" w:rsidRPr="00E4696D">
        <w:rPr>
          <w:rFonts w:ascii="Times New Roman" w:hAnsi="Times New Roman"/>
          <w:b/>
          <w:bCs/>
          <w:u w:color="0000FF"/>
          <w:lang w:val="et-EE"/>
        </w:rPr>
        <w:t>seaduse jõustumine</w:t>
      </w:r>
    </w:p>
    <w:p w14:paraId="3F473128" w14:textId="1BE2B66F" w:rsidR="00A62956" w:rsidRPr="006D07D7" w:rsidRDefault="00C0735E" w:rsidP="00A62956">
      <w:pPr>
        <w:widowControl w:val="0"/>
        <w:tabs>
          <w:tab w:val="left" w:pos="1560"/>
        </w:tabs>
        <w:autoSpaceDE w:val="0"/>
        <w:autoSpaceDN w:val="0"/>
        <w:adjustRightInd w:val="0"/>
        <w:jc w:val="both"/>
        <w:rPr>
          <w:rFonts w:ascii="Times New Roman" w:hAnsi="Times New Roman"/>
          <w:u w:color="0000FF"/>
          <w:lang w:val="et-EE"/>
        </w:rPr>
      </w:pPr>
      <w:r w:rsidRPr="00A62956">
        <w:rPr>
          <w:rFonts w:ascii="Times New Roman" w:hAnsi="Times New Roman"/>
          <w:u w:color="0000FF"/>
          <w:lang w:val="et-EE"/>
        </w:rPr>
        <w:t xml:space="preserve">Eelnõu on planeeritud </w:t>
      </w:r>
      <w:r w:rsidR="005E40EA" w:rsidRPr="00A62956">
        <w:rPr>
          <w:rFonts w:ascii="Times New Roman" w:hAnsi="Times New Roman"/>
          <w:u w:color="0000FF"/>
          <w:lang w:val="et-EE"/>
        </w:rPr>
        <w:t>jõustuma</w:t>
      </w:r>
      <w:r w:rsidR="00E4696D" w:rsidRPr="00A62956">
        <w:rPr>
          <w:rFonts w:ascii="Times New Roman" w:hAnsi="Times New Roman"/>
          <w:u w:color="0000FF"/>
          <w:lang w:val="et-EE"/>
        </w:rPr>
        <w:t xml:space="preserve"> üldises korras. Erandiks on </w:t>
      </w:r>
      <w:r w:rsidR="00E4696D" w:rsidRPr="00142C65">
        <w:rPr>
          <w:rFonts w:ascii="Times New Roman" w:hAnsi="Times New Roman"/>
          <w:u w:color="0000FF"/>
          <w:lang w:val="et-EE"/>
        </w:rPr>
        <w:t xml:space="preserve">eelnõu § </w:t>
      </w:r>
      <w:r w:rsidR="00E4696D" w:rsidRPr="00142C65">
        <w:rPr>
          <w:rFonts w:ascii="Times New Roman" w:hAnsi="Times New Roman"/>
          <w:lang w:val="et-EE"/>
        </w:rPr>
        <w:t xml:space="preserve">1 punktid </w:t>
      </w:r>
      <w:r w:rsidR="00A62956" w:rsidRPr="00142C65">
        <w:rPr>
          <w:rFonts w:ascii="Times New Roman" w:hAnsi="Times New Roman"/>
          <w:lang w:val="et-EE"/>
        </w:rPr>
        <w:t>6 ja 8</w:t>
      </w:r>
      <w:r w:rsidR="00E4696D" w:rsidRPr="00142C65">
        <w:rPr>
          <w:rFonts w:ascii="Times New Roman" w:hAnsi="Times New Roman"/>
          <w:lang w:val="et-EE"/>
        </w:rPr>
        <w:t>–</w:t>
      </w:r>
      <w:r w:rsidR="00A62956" w:rsidRPr="00142C65">
        <w:rPr>
          <w:rFonts w:ascii="Times New Roman" w:hAnsi="Times New Roman"/>
          <w:lang w:val="et-EE"/>
        </w:rPr>
        <w:t>22</w:t>
      </w:r>
      <w:r w:rsidR="00E4696D" w:rsidRPr="00142C65">
        <w:rPr>
          <w:rFonts w:ascii="Times New Roman" w:hAnsi="Times New Roman"/>
          <w:lang w:val="et-EE"/>
        </w:rPr>
        <w:t xml:space="preserve">, mis on kavandatud jõustuma </w:t>
      </w:r>
      <w:r w:rsidR="00C1073B" w:rsidRPr="00142C65">
        <w:rPr>
          <w:rFonts w:ascii="Times New Roman" w:hAnsi="Times New Roman"/>
          <w:lang w:val="et-EE"/>
        </w:rPr>
        <w:t>2025. aasta 1. j</w:t>
      </w:r>
      <w:r w:rsidR="00A62956" w:rsidRPr="00142C65">
        <w:rPr>
          <w:rFonts w:ascii="Times New Roman" w:hAnsi="Times New Roman"/>
          <w:lang w:val="et-EE"/>
        </w:rPr>
        <w:t>uun</w:t>
      </w:r>
      <w:r w:rsidR="00C1073B" w:rsidRPr="00142C65">
        <w:rPr>
          <w:rFonts w:ascii="Times New Roman" w:hAnsi="Times New Roman"/>
          <w:lang w:val="et-EE"/>
        </w:rPr>
        <w:t>il.</w:t>
      </w:r>
      <w:r w:rsidR="00E4696D" w:rsidRPr="00142C65">
        <w:rPr>
          <w:rFonts w:ascii="Times New Roman" w:hAnsi="Times New Roman"/>
          <w:lang w:val="et-EE"/>
        </w:rPr>
        <w:t xml:space="preserve"> </w:t>
      </w:r>
      <w:r w:rsidR="00A62956" w:rsidRPr="00A62956">
        <w:rPr>
          <w:rFonts w:ascii="Times New Roman" w:hAnsi="Times New Roman"/>
          <w:u w:color="0000FF"/>
          <w:lang w:val="et-EE"/>
        </w:rPr>
        <w:t>Need muudatused puudutavad II samba pensionivara pärimist, sh II samba pensionilepingute soodustatud isikute võimalusi pärast kindlustusvõtja surma. Hilisem jõustumine on vajalik, et jõuaks teostada vajalikud arendused pensioniregistris.</w:t>
      </w:r>
      <w:r w:rsidR="00A62956">
        <w:rPr>
          <w:rFonts w:ascii="Times New Roman" w:hAnsi="Times New Roman"/>
          <w:u w:color="0000FF"/>
          <w:lang w:val="et-EE"/>
        </w:rPr>
        <w:t xml:space="preserve"> </w:t>
      </w:r>
    </w:p>
    <w:p w14:paraId="0536E0A7" w14:textId="77777777" w:rsidR="00A62956" w:rsidRDefault="00A62956" w:rsidP="00D32BED">
      <w:pPr>
        <w:jc w:val="both"/>
        <w:rPr>
          <w:rFonts w:ascii="Times New Roman" w:hAnsi="Times New Roman"/>
          <w:lang w:val="et-EE"/>
        </w:rPr>
      </w:pPr>
    </w:p>
    <w:p w14:paraId="1A97F06D" w14:textId="659D95CA" w:rsidR="00632C05" w:rsidRPr="002F231B" w:rsidRDefault="00267FC6" w:rsidP="00D32BED">
      <w:pPr>
        <w:widowControl w:val="0"/>
        <w:autoSpaceDE w:val="0"/>
        <w:autoSpaceDN w:val="0"/>
        <w:adjustRightInd w:val="0"/>
        <w:jc w:val="both"/>
        <w:rPr>
          <w:rFonts w:ascii="Times New Roman" w:hAnsi="Times New Roman"/>
          <w:lang w:val="et-EE"/>
        </w:rPr>
      </w:pPr>
      <w:r>
        <w:rPr>
          <w:rFonts w:ascii="Times New Roman" w:hAnsi="Times New Roman"/>
          <w:b/>
          <w:bCs/>
          <w:lang w:val="et-EE"/>
        </w:rPr>
        <w:t>3.</w:t>
      </w:r>
      <w:r w:rsidR="009E6373">
        <w:rPr>
          <w:rFonts w:ascii="Times New Roman" w:hAnsi="Times New Roman"/>
          <w:b/>
          <w:bCs/>
          <w:lang w:val="et-EE"/>
        </w:rPr>
        <w:t>8</w:t>
      </w:r>
      <w:r w:rsidR="00632C05" w:rsidRPr="002F231B">
        <w:rPr>
          <w:rFonts w:ascii="Times New Roman" w:hAnsi="Times New Roman"/>
          <w:b/>
          <w:bCs/>
          <w:lang w:val="et-EE"/>
        </w:rPr>
        <w:t>. Muudatuste kooskõla põhiseadusega</w:t>
      </w:r>
    </w:p>
    <w:p w14:paraId="3720A5D7" w14:textId="77777777" w:rsidR="00C40F30" w:rsidRDefault="007B5D36" w:rsidP="00D32BED">
      <w:pPr>
        <w:jc w:val="both"/>
        <w:rPr>
          <w:rFonts w:ascii="Times New Roman" w:hAnsi="Times New Roman"/>
          <w:lang w:val="et-EE" w:eastAsia="et-EE"/>
        </w:rPr>
      </w:pPr>
      <w:r w:rsidRPr="007B5D36">
        <w:rPr>
          <w:rFonts w:ascii="Times New Roman" w:hAnsi="Times New Roman"/>
          <w:lang w:val="et-EE" w:eastAsia="et-EE"/>
        </w:rPr>
        <w:t>Nii k</w:t>
      </w:r>
      <w:r w:rsidR="00175851" w:rsidRPr="007B5D36">
        <w:rPr>
          <w:rFonts w:ascii="Times New Roman" w:hAnsi="Times New Roman"/>
          <w:lang w:val="et-EE" w:eastAsia="et-EE"/>
        </w:rPr>
        <w:t>ohustuslik</w:t>
      </w:r>
      <w:r w:rsidRPr="007B5D36">
        <w:rPr>
          <w:rFonts w:ascii="Times New Roman" w:hAnsi="Times New Roman"/>
          <w:lang w:val="et-EE" w:eastAsia="et-EE"/>
        </w:rPr>
        <w:t xml:space="preserve"> kui vabatahtlik</w:t>
      </w:r>
      <w:r w:rsidR="00175851" w:rsidRPr="007B5D36">
        <w:rPr>
          <w:rFonts w:ascii="Times New Roman" w:hAnsi="Times New Roman"/>
          <w:lang w:val="et-EE" w:eastAsia="et-EE"/>
        </w:rPr>
        <w:t xml:space="preserve"> kogumispension kuulu</w:t>
      </w:r>
      <w:r w:rsidRPr="007B5D36">
        <w:rPr>
          <w:rFonts w:ascii="Times New Roman" w:hAnsi="Times New Roman"/>
          <w:lang w:val="et-EE" w:eastAsia="et-EE"/>
        </w:rPr>
        <w:t>vad</w:t>
      </w:r>
      <w:r w:rsidR="00175851" w:rsidRPr="007B5D36">
        <w:rPr>
          <w:rFonts w:ascii="Times New Roman" w:hAnsi="Times New Roman"/>
          <w:lang w:val="et-EE" w:eastAsia="et-EE"/>
        </w:rPr>
        <w:t xml:space="preserve"> Põhiseaduse (PS) § 28 kaitsealasse, mille kohaselt on Eesti kodanikul muu hulgas õigus riigi abile vanaduse korral, samuti ka PS §-st 32 tuleneva omandipõhiõiguse kaitsealasse. Siinkohal on PS jätnud seadusandjale küllaltki laia kaalutlusõiguse. PS § 28 kohaselt sätestab abi liigid, ulatuse ning saamise tingimused ja korra seadus ning PS § 32 kohaselt sätestab omandi valdamise, kasutamise ja käsutamise kitsendused seadus. </w:t>
      </w:r>
      <w:r w:rsidR="008C108F" w:rsidRPr="007B5D36">
        <w:rPr>
          <w:rFonts w:ascii="Times New Roman" w:hAnsi="Times New Roman"/>
          <w:lang w:val="et-EE" w:eastAsia="et-EE"/>
        </w:rPr>
        <w:t xml:space="preserve">Eelnõus </w:t>
      </w:r>
      <w:r w:rsidR="00175851" w:rsidRPr="007B5D36">
        <w:rPr>
          <w:rFonts w:ascii="Times New Roman" w:hAnsi="Times New Roman"/>
          <w:lang w:val="et-EE" w:eastAsia="et-EE"/>
        </w:rPr>
        <w:t xml:space="preserve">esitatud </w:t>
      </w:r>
      <w:r w:rsidR="008C108F" w:rsidRPr="007B5D36">
        <w:rPr>
          <w:rFonts w:ascii="Times New Roman" w:hAnsi="Times New Roman"/>
          <w:lang w:val="et-EE" w:eastAsia="et-EE"/>
        </w:rPr>
        <w:t>muudatused</w:t>
      </w:r>
      <w:r w:rsidR="00175851" w:rsidRPr="007B5D36">
        <w:rPr>
          <w:rFonts w:ascii="Times New Roman" w:hAnsi="Times New Roman"/>
          <w:lang w:val="et-EE" w:eastAsia="et-EE"/>
        </w:rPr>
        <w:t xml:space="preserve"> </w:t>
      </w:r>
      <w:r w:rsidR="00C40F30">
        <w:rPr>
          <w:rFonts w:ascii="Times New Roman" w:hAnsi="Times New Roman"/>
          <w:lang w:val="et-EE" w:eastAsia="et-EE"/>
        </w:rPr>
        <w:t xml:space="preserve">üldiselt </w:t>
      </w:r>
      <w:r w:rsidR="00175851" w:rsidRPr="007B5D36">
        <w:rPr>
          <w:rFonts w:ascii="Times New Roman" w:hAnsi="Times New Roman"/>
          <w:lang w:val="et-EE" w:eastAsia="et-EE"/>
        </w:rPr>
        <w:t>ei sea II</w:t>
      </w:r>
      <w:r w:rsidRPr="007B5D36">
        <w:rPr>
          <w:rFonts w:ascii="Times New Roman" w:hAnsi="Times New Roman"/>
          <w:lang w:val="et-EE" w:eastAsia="et-EE"/>
        </w:rPr>
        <w:t xml:space="preserve"> ega III</w:t>
      </w:r>
      <w:r w:rsidR="00175851" w:rsidRPr="007B5D36">
        <w:rPr>
          <w:rFonts w:ascii="Times New Roman" w:hAnsi="Times New Roman"/>
          <w:lang w:val="et-EE" w:eastAsia="et-EE"/>
        </w:rPr>
        <w:t xml:space="preserve"> sambaga liitunud isikutele  täiendavaid kohustusi</w:t>
      </w:r>
      <w:r w:rsidRPr="007B5D36">
        <w:rPr>
          <w:rFonts w:ascii="Times New Roman" w:hAnsi="Times New Roman"/>
          <w:lang w:val="et-EE" w:eastAsia="et-EE"/>
        </w:rPr>
        <w:t xml:space="preserve"> või piiranguid</w:t>
      </w:r>
      <w:r w:rsidR="00175851" w:rsidRPr="007B5D36">
        <w:rPr>
          <w:rFonts w:ascii="Times New Roman" w:hAnsi="Times New Roman"/>
          <w:lang w:val="et-EE" w:eastAsia="et-EE"/>
        </w:rPr>
        <w:t xml:space="preserve">, aga </w:t>
      </w:r>
      <w:r w:rsidRPr="007B5D36">
        <w:rPr>
          <w:rFonts w:ascii="Times New Roman" w:hAnsi="Times New Roman"/>
          <w:lang w:val="et-EE" w:eastAsia="et-EE"/>
        </w:rPr>
        <w:t>lihtsustavad või muudavad paindlikumaks teatud protsesse (näiteks päritud II samba pensionivara oma II sambasse viimine või liikumine III sambas ühest pensioniskeemist teise)</w:t>
      </w:r>
      <w:r w:rsidR="00175851" w:rsidRPr="007B5D36">
        <w:rPr>
          <w:rFonts w:ascii="Times New Roman" w:hAnsi="Times New Roman"/>
          <w:lang w:val="et-EE" w:eastAsia="et-EE"/>
        </w:rPr>
        <w:t>.</w:t>
      </w:r>
    </w:p>
    <w:p w14:paraId="5077D5BF" w14:textId="77777777" w:rsidR="00C40F30" w:rsidRDefault="00C40F30" w:rsidP="00D32BED">
      <w:pPr>
        <w:jc w:val="both"/>
        <w:rPr>
          <w:rFonts w:ascii="Times New Roman" w:hAnsi="Times New Roman"/>
          <w:lang w:val="et-EE" w:eastAsia="et-EE"/>
        </w:rPr>
      </w:pPr>
    </w:p>
    <w:p w14:paraId="34838BCD" w14:textId="0F1BF269" w:rsidR="00A26B21" w:rsidRDefault="00C40F30" w:rsidP="00D32BED">
      <w:pPr>
        <w:jc w:val="both"/>
        <w:rPr>
          <w:rFonts w:ascii="Times New Roman" w:hAnsi="Times New Roman"/>
          <w:lang w:val="et-EE" w:eastAsia="et-EE"/>
        </w:rPr>
      </w:pPr>
      <w:r>
        <w:rPr>
          <w:rFonts w:ascii="Times New Roman" w:hAnsi="Times New Roman"/>
          <w:lang w:val="et-EE" w:eastAsia="et-EE"/>
        </w:rPr>
        <w:t>Erandiks on KoPS § 3</w:t>
      </w:r>
      <w:r>
        <w:rPr>
          <w:rFonts w:ascii="Times New Roman" w:hAnsi="Times New Roman"/>
          <w:vertAlign w:val="superscript"/>
          <w:lang w:val="et-EE" w:eastAsia="et-EE"/>
        </w:rPr>
        <w:t>1</w:t>
      </w:r>
      <w:r>
        <w:rPr>
          <w:rFonts w:ascii="Times New Roman" w:hAnsi="Times New Roman"/>
          <w:lang w:val="et-EE" w:eastAsia="et-EE"/>
        </w:rPr>
        <w:t xml:space="preserve"> lõike 7 muutmine, mis lubab teatud juhtudel krediidiasutusel lasta pensioni investeerimiskontol tasude ja kulude katmiseks puuduva summa ulatuses jääki ületada ja sellelt viivitusintressi arvestada. Antud muudatus riivab PS §-s 32 sätestatud omandipõhiõigust.</w:t>
      </w:r>
      <w:r>
        <w:rPr>
          <w:rFonts w:ascii="Times New Roman" w:hAnsi="Times New Roman"/>
          <w:bCs/>
          <w:lang w:val="et-EE"/>
        </w:rPr>
        <w:t xml:space="preserve"> KoPS § 3</w:t>
      </w:r>
      <w:r>
        <w:rPr>
          <w:rFonts w:ascii="Times New Roman" w:hAnsi="Times New Roman"/>
          <w:bCs/>
          <w:vertAlign w:val="superscript"/>
          <w:lang w:val="et-EE"/>
        </w:rPr>
        <w:t>1</w:t>
      </w:r>
      <w:r>
        <w:rPr>
          <w:rFonts w:ascii="Times New Roman" w:hAnsi="Times New Roman"/>
          <w:bCs/>
          <w:lang w:val="et-EE"/>
        </w:rPr>
        <w:t xml:space="preserve"> lõike 7 kohaselt </w:t>
      </w:r>
      <w:r w:rsidR="000E6B2D">
        <w:rPr>
          <w:rFonts w:ascii="Times New Roman" w:hAnsi="Times New Roman"/>
          <w:bCs/>
          <w:lang w:val="et-EE"/>
        </w:rPr>
        <w:t>makstakse</w:t>
      </w:r>
      <w:r>
        <w:rPr>
          <w:rFonts w:ascii="Times New Roman" w:hAnsi="Times New Roman"/>
          <w:bCs/>
          <w:lang w:val="et-EE"/>
        </w:rPr>
        <w:t xml:space="preserve"> </w:t>
      </w:r>
      <w:r w:rsidR="000E6B2D">
        <w:rPr>
          <w:rFonts w:ascii="Times New Roman" w:hAnsi="Times New Roman"/>
          <w:bCs/>
          <w:lang w:val="et-EE"/>
        </w:rPr>
        <w:t>p</w:t>
      </w:r>
      <w:r w:rsidR="00A26B21" w:rsidRPr="007717F5">
        <w:rPr>
          <w:rFonts w:ascii="Times New Roman" w:hAnsi="Times New Roman"/>
          <w:bCs/>
          <w:lang w:val="et-EE"/>
        </w:rPr>
        <w:t xml:space="preserve">ensioni investeerimiskonto ja finantsvaraga seotud tasud ja kulud </w:t>
      </w:r>
      <w:r w:rsidR="000E6B2D">
        <w:rPr>
          <w:rFonts w:ascii="Times New Roman" w:hAnsi="Times New Roman"/>
          <w:bCs/>
          <w:lang w:val="et-EE"/>
        </w:rPr>
        <w:t xml:space="preserve">üldjuhul </w:t>
      </w:r>
      <w:r w:rsidR="00A26B21" w:rsidRPr="007717F5">
        <w:rPr>
          <w:rFonts w:ascii="Times New Roman" w:hAnsi="Times New Roman"/>
          <w:bCs/>
          <w:lang w:val="et-EE"/>
        </w:rPr>
        <w:t xml:space="preserve">pensioni investeerimiskontol olevast rahast. </w:t>
      </w:r>
      <w:r w:rsidR="000E6B2D">
        <w:rPr>
          <w:rFonts w:ascii="Times New Roman" w:hAnsi="Times New Roman"/>
          <w:bCs/>
          <w:lang w:val="et-EE"/>
        </w:rPr>
        <w:t xml:space="preserve">Kui pensioni investeerimiskontol raha ei ole, lubab kehtiv seadus krediidiasutusel katta need tasud ja kulud pensionikoguja muul, samas krediidiasutuses avatud, pangakontol oleva raha arvelt. Eelnõu jätab muul kontol oleva raha arvelt pensioni investeerimiskonto ja finantsvaraga seotud tasude ja kulude katmise viimaseks meetmeks, kuid lisab selle ette võimaluse lubada pensioni investeerimiskontol nö miinusesse minna (jääki ületada), millisel juhul jääb krediidiasutusele </w:t>
      </w:r>
      <w:r w:rsidR="000E6B2D">
        <w:rPr>
          <w:rFonts w:ascii="Times New Roman" w:hAnsi="Times New Roman"/>
          <w:bCs/>
          <w:lang w:val="et-EE"/>
        </w:rPr>
        <w:lastRenderedPageBreak/>
        <w:t>ka võimalus viivitusintressi arvestada.  Praktikas võib s</w:t>
      </w:r>
      <w:r w:rsidR="000E6B2D" w:rsidRPr="007717F5">
        <w:rPr>
          <w:rFonts w:ascii="Times New Roman" w:hAnsi="Times New Roman"/>
          <w:bCs/>
          <w:lang w:val="et-EE"/>
        </w:rPr>
        <w:t xml:space="preserve">elline olukord </w:t>
      </w:r>
      <w:r w:rsidR="000E6B2D">
        <w:rPr>
          <w:rFonts w:ascii="Times New Roman" w:hAnsi="Times New Roman"/>
          <w:bCs/>
          <w:lang w:val="et-EE"/>
        </w:rPr>
        <w:t>esile kerkida</w:t>
      </w:r>
      <w:r w:rsidR="000E6B2D" w:rsidRPr="007717F5">
        <w:rPr>
          <w:rFonts w:ascii="Times New Roman" w:hAnsi="Times New Roman"/>
          <w:bCs/>
          <w:lang w:val="et-EE"/>
        </w:rPr>
        <w:t xml:space="preserve">, kui </w:t>
      </w:r>
      <w:r w:rsidR="000E6B2D">
        <w:rPr>
          <w:rFonts w:ascii="Times New Roman" w:hAnsi="Times New Roman"/>
          <w:bCs/>
          <w:lang w:val="et-EE"/>
        </w:rPr>
        <w:t>pensioni investeerimiskonto</w:t>
      </w:r>
      <w:r w:rsidR="000E6B2D" w:rsidRPr="007717F5">
        <w:rPr>
          <w:rFonts w:ascii="Times New Roman" w:hAnsi="Times New Roman"/>
          <w:bCs/>
          <w:lang w:val="et-EE"/>
        </w:rPr>
        <w:t xml:space="preserve"> kaudu on tehtud investeeringuid, mida ei ole majanduslikult mõistlik kohe realiseerima asuda, </w:t>
      </w:r>
      <w:r w:rsidR="000E6B2D">
        <w:rPr>
          <w:rFonts w:ascii="Times New Roman" w:hAnsi="Times New Roman"/>
          <w:bCs/>
          <w:lang w:val="et-EE"/>
        </w:rPr>
        <w:t xml:space="preserve">ja samal ajal on </w:t>
      </w:r>
      <w:r w:rsidR="000E6B2D" w:rsidRPr="007717F5">
        <w:rPr>
          <w:rFonts w:ascii="Times New Roman" w:hAnsi="Times New Roman"/>
          <w:bCs/>
          <w:lang w:val="et-EE"/>
        </w:rPr>
        <w:t xml:space="preserve">ette näha hilisem raha laekumine pensioni investeerimiskontole. </w:t>
      </w:r>
      <w:r w:rsidR="000E6B2D">
        <w:rPr>
          <w:rFonts w:ascii="Times New Roman" w:hAnsi="Times New Roman"/>
          <w:bCs/>
          <w:lang w:val="et-EE"/>
        </w:rPr>
        <w:t>Selle asemel, et isiku muult kontolt vastav summa kinni pidada, saab antud olukorras edaspidi kasutada võimalust pensioni investeerimiskonto ajutiselt miinusesse lasta ning vastav summa siis juba kontole hiljem laekuva raha arvelt katta. Muudatus on pensionikoguja suhtes piirav, sest võimaldab kirjeldatud olukorras küsida krediidiasutusel viivitusintressi. Teisalt on see</w:t>
      </w:r>
      <w:r w:rsidR="00AF2E4B">
        <w:rPr>
          <w:rFonts w:ascii="Times New Roman" w:hAnsi="Times New Roman"/>
          <w:bCs/>
          <w:lang w:val="et-EE"/>
        </w:rPr>
        <w:t xml:space="preserve"> pensionikoguja muu vara suhtes (tavalisel pangakontol olev raha) säästva iseloomuga, sest pakub täiendavat võimalust katta pensioni investeerimiskontot puudutavad tasud ja kulud II sambasse kogutud raha arvel. Sellest lähtuvalt saab riivet pidada proportsionaalseks. </w:t>
      </w:r>
    </w:p>
    <w:p w14:paraId="268EF3A0" w14:textId="44B97A4B" w:rsidR="009008FA" w:rsidRDefault="009008FA" w:rsidP="00D32BED">
      <w:pPr>
        <w:jc w:val="both"/>
        <w:rPr>
          <w:rFonts w:ascii="Times New Roman" w:hAnsi="Times New Roman"/>
          <w:lang w:val="et-EE" w:eastAsia="et-EE"/>
        </w:rPr>
      </w:pPr>
    </w:p>
    <w:p w14:paraId="072D69CA" w14:textId="1F2FA9CC" w:rsidR="009008FA" w:rsidRDefault="009008FA" w:rsidP="00D32BED">
      <w:pPr>
        <w:widowControl w:val="0"/>
        <w:autoSpaceDE w:val="0"/>
        <w:autoSpaceDN w:val="0"/>
        <w:adjustRightInd w:val="0"/>
        <w:jc w:val="both"/>
        <w:rPr>
          <w:rFonts w:ascii="Times New Roman" w:hAnsi="Times New Roman"/>
          <w:lang w:val="et-EE"/>
        </w:rPr>
      </w:pPr>
      <w:r>
        <w:rPr>
          <w:rFonts w:ascii="Times New Roman" w:hAnsi="Times New Roman"/>
          <w:lang w:val="et-EE"/>
        </w:rPr>
        <w:t xml:space="preserve">PEPPi lepingute kontekstis on eelnõul puutumus ka PS §-ga 31, mis sätestab, et </w:t>
      </w:r>
      <w:r w:rsidRPr="00743380">
        <w:rPr>
          <w:rFonts w:ascii="Times New Roman" w:hAnsi="Times New Roman"/>
          <w:lang w:val="et-EE"/>
        </w:rPr>
        <w:t>Eesti kodanikel on õigus tegelda ettevõtlusega ning koonduda tulundusühingutesse ja -liitudesse</w:t>
      </w:r>
      <w:r>
        <w:rPr>
          <w:rFonts w:ascii="Times New Roman" w:hAnsi="Times New Roman"/>
          <w:lang w:val="et-EE"/>
        </w:rPr>
        <w:t xml:space="preserve">, selle </w:t>
      </w:r>
      <w:r w:rsidRPr="00743380">
        <w:rPr>
          <w:rFonts w:ascii="Times New Roman" w:hAnsi="Times New Roman"/>
          <w:lang w:val="et-EE"/>
        </w:rPr>
        <w:t>õiguse kasutamise tingimused ja korra</w:t>
      </w:r>
      <w:r>
        <w:rPr>
          <w:rFonts w:ascii="Times New Roman" w:hAnsi="Times New Roman"/>
          <w:lang w:val="et-EE"/>
        </w:rPr>
        <w:t xml:space="preserve"> võib sätestada seadus</w:t>
      </w:r>
      <w:r w:rsidRPr="00743380">
        <w:rPr>
          <w:rFonts w:ascii="Times New Roman" w:hAnsi="Times New Roman"/>
          <w:lang w:val="et-EE"/>
        </w:rPr>
        <w:t xml:space="preserve">. </w:t>
      </w:r>
      <w:r>
        <w:rPr>
          <w:rFonts w:ascii="Times New Roman" w:hAnsi="Times New Roman"/>
          <w:lang w:val="et-EE"/>
        </w:rPr>
        <w:t>See, millised ettevõt</w:t>
      </w:r>
      <w:r w:rsidR="00E757EF">
        <w:rPr>
          <w:rFonts w:ascii="Times New Roman" w:hAnsi="Times New Roman"/>
          <w:lang w:val="et-EE"/>
        </w:rPr>
        <w:t>ja</w:t>
      </w:r>
      <w:r>
        <w:rPr>
          <w:rFonts w:ascii="Times New Roman" w:hAnsi="Times New Roman"/>
          <w:lang w:val="et-EE"/>
        </w:rPr>
        <w:t>d võivad pakkuda PEPPi lepinguid või neid turustada, tuleneb PEPPi määruse artiklitest 6(1) ja 10. Samuti on PEPPi lepingu tingimused sätestatud PEPPi määrusega. Eelnõuga viiakse asjasse puutuvad väärteokaristuste piirmäärad samale tasemele finantssektoris üldiselt kehtivate piirmääradega, mis tehnilistel põhjustel jäi tegemata finantssektori karistusreformi käigus. Nõuded, millest tuleb PEPPi pakkujatel PEPPi määruse kohaselt kinni pidada, on kehtestatud pensionikogujate ja -saajate huvidest ja kaitsest lähtuvalt. Sellest eesmärgist lähtuvalt on eelnõus kavandatud muudatused proportsionaalsed.</w:t>
      </w:r>
    </w:p>
    <w:p w14:paraId="3C043A2A" w14:textId="77777777" w:rsidR="009008FA" w:rsidRDefault="009008FA" w:rsidP="00D32BED">
      <w:pPr>
        <w:jc w:val="both"/>
        <w:rPr>
          <w:rFonts w:ascii="Times New Roman" w:hAnsi="Times New Roman"/>
          <w:lang w:val="et-EE" w:eastAsia="et-EE"/>
        </w:rPr>
      </w:pPr>
    </w:p>
    <w:p w14:paraId="6768D04B" w14:textId="13917957" w:rsidR="00175851" w:rsidRDefault="00175851" w:rsidP="00D32BED">
      <w:pPr>
        <w:jc w:val="both"/>
        <w:rPr>
          <w:rFonts w:ascii="Times New Roman" w:hAnsi="Times New Roman"/>
          <w:lang w:val="et-EE" w:eastAsia="et-EE"/>
        </w:rPr>
      </w:pPr>
      <w:r w:rsidRPr="007B5D36">
        <w:rPr>
          <w:rFonts w:ascii="Times New Roman" w:hAnsi="Times New Roman"/>
          <w:lang w:val="et-EE" w:eastAsia="et-EE"/>
        </w:rPr>
        <w:t xml:space="preserve">Eeltoodut arvesse võttes tuleb </w:t>
      </w:r>
      <w:r w:rsidR="009008FA">
        <w:rPr>
          <w:rFonts w:ascii="Times New Roman" w:hAnsi="Times New Roman"/>
          <w:lang w:val="et-EE" w:eastAsia="et-EE"/>
        </w:rPr>
        <w:t xml:space="preserve">eelnõus </w:t>
      </w:r>
      <w:r w:rsidR="008C108F" w:rsidRPr="007B5D36">
        <w:rPr>
          <w:rFonts w:ascii="Times New Roman" w:hAnsi="Times New Roman"/>
          <w:lang w:val="et-EE" w:eastAsia="et-EE"/>
        </w:rPr>
        <w:t>kavandatud</w:t>
      </w:r>
      <w:r w:rsidRPr="007B5D36">
        <w:rPr>
          <w:rFonts w:ascii="Times New Roman" w:hAnsi="Times New Roman"/>
          <w:lang w:val="et-EE" w:eastAsia="et-EE"/>
        </w:rPr>
        <w:t xml:space="preserve"> muudatusi pidada põhiseadusega kooskõlas olevaks.</w:t>
      </w:r>
    </w:p>
    <w:p w14:paraId="79838245" w14:textId="77777777" w:rsidR="00635669" w:rsidRDefault="00635669" w:rsidP="00D32BED">
      <w:pPr>
        <w:jc w:val="both"/>
        <w:rPr>
          <w:rFonts w:ascii="Times New Roman" w:hAnsi="Times New Roman"/>
          <w:lang w:val="et-EE"/>
        </w:rPr>
      </w:pPr>
    </w:p>
    <w:p w14:paraId="45298834" w14:textId="77777777" w:rsidR="00AE3C65" w:rsidRPr="008D385C" w:rsidRDefault="001F1132" w:rsidP="00D32BED">
      <w:pPr>
        <w:widowControl w:val="0"/>
        <w:autoSpaceDE w:val="0"/>
        <w:autoSpaceDN w:val="0"/>
        <w:adjustRightInd w:val="0"/>
        <w:jc w:val="both"/>
        <w:rPr>
          <w:rFonts w:ascii="Times New Roman" w:hAnsi="Times New Roman"/>
          <w:b/>
          <w:bCs/>
          <w:lang w:val="et-EE"/>
        </w:rPr>
      </w:pPr>
      <w:r w:rsidRPr="008D385C">
        <w:rPr>
          <w:rFonts w:ascii="Times New Roman" w:hAnsi="Times New Roman"/>
          <w:b/>
          <w:bCs/>
          <w:lang w:val="et-EE"/>
        </w:rPr>
        <w:t xml:space="preserve">4. </w:t>
      </w:r>
      <w:r w:rsidR="00966B16" w:rsidRPr="008D385C">
        <w:rPr>
          <w:rFonts w:ascii="Times New Roman" w:hAnsi="Times New Roman"/>
          <w:b/>
          <w:bCs/>
          <w:lang w:val="et-EE"/>
        </w:rPr>
        <w:t>Terminoloogia</w:t>
      </w:r>
    </w:p>
    <w:p w14:paraId="655B0589" w14:textId="08A9865F" w:rsidR="00635669" w:rsidRDefault="00AC50BA" w:rsidP="00D32BED">
      <w:pPr>
        <w:widowControl w:val="0"/>
        <w:autoSpaceDE w:val="0"/>
        <w:autoSpaceDN w:val="0"/>
        <w:adjustRightInd w:val="0"/>
        <w:jc w:val="both"/>
        <w:rPr>
          <w:rFonts w:ascii="Times New Roman" w:hAnsi="Times New Roman"/>
          <w:lang w:val="et-EE"/>
        </w:rPr>
      </w:pPr>
      <w:r>
        <w:rPr>
          <w:rFonts w:ascii="Times New Roman" w:hAnsi="Times New Roman"/>
          <w:lang w:val="et-EE"/>
        </w:rPr>
        <w:t>Eelnõu</w:t>
      </w:r>
      <w:r w:rsidR="00175851">
        <w:rPr>
          <w:rFonts w:ascii="Times New Roman" w:hAnsi="Times New Roman"/>
          <w:lang w:val="et-EE"/>
        </w:rPr>
        <w:t xml:space="preserve">ga ei </w:t>
      </w:r>
      <w:r w:rsidR="002A336B">
        <w:rPr>
          <w:rFonts w:ascii="Times New Roman" w:hAnsi="Times New Roman"/>
          <w:lang w:val="et-EE"/>
        </w:rPr>
        <w:t>võeta kasutusele uus</w:t>
      </w:r>
      <w:r w:rsidR="00175851">
        <w:rPr>
          <w:rFonts w:ascii="Times New Roman" w:hAnsi="Times New Roman"/>
          <w:lang w:val="et-EE"/>
        </w:rPr>
        <w:t>i</w:t>
      </w:r>
      <w:r w:rsidR="0028605B">
        <w:rPr>
          <w:rFonts w:ascii="Times New Roman" w:hAnsi="Times New Roman"/>
          <w:lang w:val="et-EE"/>
        </w:rPr>
        <w:t xml:space="preserve"> termin</w:t>
      </w:r>
      <w:r w:rsidR="00175851">
        <w:rPr>
          <w:rFonts w:ascii="Times New Roman" w:hAnsi="Times New Roman"/>
          <w:lang w:val="et-EE"/>
        </w:rPr>
        <w:t xml:space="preserve">eid. </w:t>
      </w:r>
      <w:r w:rsidR="002F231B" w:rsidRPr="002F231B">
        <w:rPr>
          <w:rFonts w:ascii="Times New Roman" w:hAnsi="Times New Roman"/>
          <w:lang w:val="et-EE"/>
        </w:rPr>
        <w:t xml:space="preserve"> </w:t>
      </w:r>
    </w:p>
    <w:p w14:paraId="6FF04005" w14:textId="77777777" w:rsidR="00635669" w:rsidRDefault="00635669" w:rsidP="00D32BED">
      <w:pPr>
        <w:widowControl w:val="0"/>
        <w:autoSpaceDE w:val="0"/>
        <w:autoSpaceDN w:val="0"/>
        <w:adjustRightInd w:val="0"/>
        <w:jc w:val="both"/>
        <w:rPr>
          <w:rFonts w:ascii="Times New Roman" w:hAnsi="Times New Roman"/>
          <w:lang w:val="et-EE"/>
        </w:rPr>
      </w:pPr>
    </w:p>
    <w:p w14:paraId="6ED4E531" w14:textId="0F2C6436" w:rsidR="00AE3C65" w:rsidRPr="00864EE6" w:rsidRDefault="00AE3C65" w:rsidP="00D32BED">
      <w:pPr>
        <w:widowControl w:val="0"/>
        <w:autoSpaceDE w:val="0"/>
        <w:autoSpaceDN w:val="0"/>
        <w:adjustRightInd w:val="0"/>
        <w:jc w:val="both"/>
        <w:rPr>
          <w:rFonts w:ascii="Times New Roman" w:hAnsi="Times New Roman"/>
          <w:lang w:val="et-EE"/>
        </w:rPr>
      </w:pPr>
      <w:r w:rsidRPr="008D385C">
        <w:rPr>
          <w:rFonts w:ascii="Times New Roman" w:eastAsia="Hiragino Sans W3" w:hAnsi="Times New Roman"/>
          <w:b/>
          <w:bCs/>
          <w:lang w:val="et-EE"/>
        </w:rPr>
        <w:t>5</w:t>
      </w:r>
      <w:r w:rsidR="001F1132" w:rsidRPr="008D385C">
        <w:rPr>
          <w:rFonts w:ascii="Times New Roman" w:eastAsia="Hiragino Sans W3" w:hAnsi="Times New Roman"/>
          <w:b/>
          <w:bCs/>
          <w:lang w:val="et-EE"/>
        </w:rPr>
        <w:t xml:space="preserve">. </w:t>
      </w:r>
      <w:r w:rsidR="00966B16" w:rsidRPr="008D385C">
        <w:rPr>
          <w:rFonts w:ascii="Times New Roman" w:eastAsia="Hiragino Sans W3" w:hAnsi="Times New Roman"/>
          <w:b/>
          <w:bCs/>
          <w:lang w:val="et-EE"/>
        </w:rPr>
        <w:t xml:space="preserve">Eelnõu kooskõla </w:t>
      </w:r>
      <w:r w:rsidR="009008FA">
        <w:rPr>
          <w:rFonts w:ascii="Times New Roman" w:eastAsia="Hiragino Sans W3" w:hAnsi="Times New Roman"/>
          <w:b/>
          <w:bCs/>
          <w:lang w:val="et-EE"/>
        </w:rPr>
        <w:t>E</w:t>
      </w:r>
      <w:r w:rsidR="00966B16" w:rsidRPr="008D385C">
        <w:rPr>
          <w:rFonts w:ascii="Times New Roman" w:eastAsia="Hiragino Sans W3" w:hAnsi="Times New Roman"/>
          <w:b/>
          <w:bCs/>
          <w:lang w:val="et-EE"/>
        </w:rPr>
        <w:t xml:space="preserve">uroopa </w:t>
      </w:r>
      <w:r w:rsidR="009008FA">
        <w:rPr>
          <w:rFonts w:ascii="Times New Roman" w:eastAsia="Hiragino Sans W3" w:hAnsi="Times New Roman"/>
          <w:b/>
          <w:bCs/>
          <w:lang w:val="et-EE"/>
        </w:rPr>
        <w:t>L</w:t>
      </w:r>
      <w:r w:rsidR="00966B16" w:rsidRPr="008D385C">
        <w:rPr>
          <w:rFonts w:ascii="Times New Roman" w:eastAsia="Hiragino Sans W3" w:hAnsi="Times New Roman"/>
          <w:b/>
          <w:bCs/>
          <w:lang w:val="et-EE"/>
        </w:rPr>
        <w:t>iidu õigusega</w:t>
      </w:r>
    </w:p>
    <w:p w14:paraId="29AF167C" w14:textId="17610A70" w:rsidR="009008FA" w:rsidRDefault="00B602EA" w:rsidP="00D32BED">
      <w:pPr>
        <w:widowControl w:val="0"/>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Eelnõu omab puutumust </w:t>
      </w:r>
      <w:r w:rsidR="009008FA">
        <w:rPr>
          <w:rFonts w:ascii="Times New Roman" w:hAnsi="Times New Roman"/>
          <w:u w:color="0000FF"/>
          <w:lang w:val="et-EE"/>
        </w:rPr>
        <w:t>viie Euroopa Liidu õigusaktiga (vt ka seletuskirja punkti 1.3).</w:t>
      </w:r>
    </w:p>
    <w:p w14:paraId="7FCAA506" w14:textId="4C47907E" w:rsidR="007B5D36" w:rsidRDefault="00B602EA" w:rsidP="00D32BED">
      <w:pPr>
        <w:widowControl w:val="0"/>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Eelnõuga kehtestatakse pensionifondi valitsejale kohustus </w:t>
      </w:r>
      <w:r w:rsidR="007B5D36">
        <w:rPr>
          <w:rFonts w:ascii="Times New Roman" w:hAnsi="Times New Roman"/>
          <w:u w:color="0000FF"/>
          <w:lang w:val="et-EE"/>
        </w:rPr>
        <w:t>avaldada</w:t>
      </w:r>
      <w:r w:rsidR="007B5D36" w:rsidRPr="00E86CAE">
        <w:rPr>
          <w:rFonts w:ascii="Times New Roman" w:hAnsi="Times New Roman"/>
          <w:u w:color="0000FF"/>
          <w:lang w:val="et-EE"/>
        </w:rPr>
        <w:t xml:space="preserve"> </w:t>
      </w:r>
      <w:r w:rsidR="007B5D36">
        <w:rPr>
          <w:rFonts w:ascii="Times New Roman" w:hAnsi="Times New Roman"/>
          <w:u w:color="0000FF"/>
          <w:lang w:val="et-EE"/>
        </w:rPr>
        <w:t>kohustusliku pensioni</w:t>
      </w:r>
      <w:r w:rsidR="007B5D36" w:rsidRPr="00E86CAE">
        <w:rPr>
          <w:rFonts w:ascii="Times New Roman" w:hAnsi="Times New Roman"/>
          <w:u w:color="0000FF"/>
          <w:lang w:val="et-EE"/>
        </w:rPr>
        <w:t>fondi vara investeerimise ja riskide juhtimisega seonduvalt jätkusuutlikkust käsitlevat teavet, järgides määruses 2019/2088</w:t>
      </w:r>
      <w:r w:rsidR="007B5D36">
        <w:rPr>
          <w:rFonts w:ascii="Times New Roman" w:hAnsi="Times New Roman"/>
          <w:u w:color="0000FF"/>
          <w:lang w:val="et-EE"/>
        </w:rPr>
        <w:t xml:space="preserve"> sätestatut. See on kooskõlas m</w:t>
      </w:r>
      <w:r>
        <w:rPr>
          <w:rFonts w:ascii="Times New Roman" w:hAnsi="Times New Roman"/>
          <w:u w:color="0000FF"/>
          <w:lang w:val="et-EE"/>
        </w:rPr>
        <w:t>ääruse 2019/2088 artikli</w:t>
      </w:r>
      <w:r w:rsidR="007B5D36">
        <w:rPr>
          <w:rFonts w:ascii="Times New Roman" w:hAnsi="Times New Roman"/>
          <w:u w:color="0000FF"/>
          <w:lang w:val="et-EE"/>
        </w:rPr>
        <w:t>ga</w:t>
      </w:r>
      <w:r>
        <w:rPr>
          <w:rFonts w:ascii="Times New Roman" w:hAnsi="Times New Roman"/>
          <w:u w:color="0000FF"/>
          <w:lang w:val="et-EE"/>
        </w:rPr>
        <w:t xml:space="preserve"> 16</w:t>
      </w:r>
      <w:r w:rsidR="007B5D36">
        <w:rPr>
          <w:rFonts w:ascii="Times New Roman" w:hAnsi="Times New Roman"/>
          <w:u w:color="0000FF"/>
          <w:lang w:val="et-EE"/>
        </w:rPr>
        <w:t xml:space="preserve">. </w:t>
      </w:r>
    </w:p>
    <w:p w14:paraId="626501F8" w14:textId="77777777" w:rsidR="00B602EA" w:rsidRDefault="00B602EA" w:rsidP="00D32BED">
      <w:pPr>
        <w:widowControl w:val="0"/>
        <w:autoSpaceDE w:val="0"/>
        <w:autoSpaceDN w:val="0"/>
        <w:adjustRightInd w:val="0"/>
        <w:jc w:val="both"/>
        <w:rPr>
          <w:rFonts w:ascii="Times New Roman" w:hAnsi="Times New Roman"/>
          <w:u w:color="0000FF"/>
          <w:lang w:val="et-EE"/>
        </w:rPr>
      </w:pPr>
    </w:p>
    <w:p w14:paraId="025B0CE4" w14:textId="3095810F" w:rsidR="00864EE6" w:rsidRDefault="00B602EA"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Eelnõus esitatud väärteokaristusi puudutavad muudatused on seotud </w:t>
      </w:r>
      <w:r w:rsidR="00D36564">
        <w:rPr>
          <w:rFonts w:ascii="Times New Roman" w:hAnsi="Times New Roman"/>
          <w:u w:color="0000FF"/>
          <w:lang w:val="et-EE"/>
        </w:rPr>
        <w:t>PEPPi määrusega.</w:t>
      </w:r>
      <w:r>
        <w:rPr>
          <w:rFonts w:ascii="Times New Roman" w:hAnsi="Times New Roman"/>
          <w:u w:color="0000FF"/>
          <w:lang w:val="et-EE"/>
        </w:rPr>
        <w:t xml:space="preserve"> Eelnõuga tõstetakse määruses kehtestatud nõuete rikkumise tagajärjeks olevate väärteokaristuste </w:t>
      </w:r>
      <w:r w:rsidR="007B5D36">
        <w:rPr>
          <w:rFonts w:ascii="Times New Roman" w:hAnsi="Times New Roman"/>
          <w:u w:color="0000FF"/>
          <w:lang w:val="et-EE"/>
        </w:rPr>
        <w:t>piir</w:t>
      </w:r>
      <w:r>
        <w:rPr>
          <w:rFonts w:ascii="Times New Roman" w:hAnsi="Times New Roman"/>
          <w:u w:color="0000FF"/>
          <w:lang w:val="et-EE"/>
        </w:rPr>
        <w:t>määra</w:t>
      </w:r>
      <w:r w:rsidR="007B5D36">
        <w:rPr>
          <w:rFonts w:ascii="Times New Roman" w:hAnsi="Times New Roman"/>
          <w:u w:color="0000FF"/>
          <w:lang w:val="et-EE"/>
        </w:rPr>
        <w:t>si</w:t>
      </w:r>
      <w:r>
        <w:rPr>
          <w:rFonts w:ascii="Times New Roman" w:hAnsi="Times New Roman"/>
          <w:u w:color="0000FF"/>
          <w:lang w:val="et-EE"/>
        </w:rPr>
        <w:t xml:space="preserve">d, mis võrdsustab karistuste määrad teiste finantssektori karistusmääradega. </w:t>
      </w:r>
      <w:r w:rsidR="007B5D36">
        <w:rPr>
          <w:rFonts w:ascii="Times New Roman" w:hAnsi="Times New Roman"/>
          <w:u w:color="0000FF"/>
          <w:lang w:val="et-EE"/>
        </w:rPr>
        <w:t xml:space="preserve">Muudatused on </w:t>
      </w:r>
      <w:r w:rsidR="00D36564">
        <w:rPr>
          <w:rFonts w:ascii="Times New Roman" w:hAnsi="Times New Roman"/>
          <w:u w:color="0000FF"/>
          <w:lang w:val="et-EE"/>
        </w:rPr>
        <w:t xml:space="preserve">PEPPi </w:t>
      </w:r>
      <w:r w:rsidR="007B5D36">
        <w:rPr>
          <w:rFonts w:ascii="Times New Roman" w:hAnsi="Times New Roman"/>
          <w:u w:color="0000FF"/>
          <w:lang w:val="et-EE"/>
        </w:rPr>
        <w:t>määrusega kooskõlas.</w:t>
      </w:r>
    </w:p>
    <w:p w14:paraId="385042C2" w14:textId="77777777" w:rsidR="000964A0" w:rsidRDefault="000964A0" w:rsidP="00D32BED">
      <w:pPr>
        <w:widowControl w:val="0"/>
        <w:tabs>
          <w:tab w:val="left" w:pos="1560"/>
        </w:tabs>
        <w:autoSpaceDE w:val="0"/>
        <w:autoSpaceDN w:val="0"/>
        <w:adjustRightInd w:val="0"/>
        <w:jc w:val="both"/>
        <w:rPr>
          <w:rFonts w:ascii="Times New Roman" w:hAnsi="Times New Roman"/>
          <w:u w:color="0000FF"/>
          <w:lang w:val="et-EE"/>
        </w:rPr>
      </w:pPr>
    </w:p>
    <w:p w14:paraId="0187B8A1" w14:textId="721A782E" w:rsidR="000964A0" w:rsidRPr="000964A0" w:rsidRDefault="000964A0" w:rsidP="00D32BED">
      <w:pPr>
        <w:widowControl w:val="0"/>
        <w:autoSpaceDE w:val="0"/>
        <w:autoSpaceDN w:val="0"/>
        <w:adjustRightInd w:val="0"/>
        <w:jc w:val="both"/>
        <w:rPr>
          <w:rFonts w:ascii="Times New Roman" w:hAnsi="Times New Roman"/>
          <w:u w:color="0000FF"/>
          <w:lang w:val="et-EE"/>
        </w:rPr>
      </w:pPr>
      <w:r w:rsidRPr="00215ABE">
        <w:rPr>
          <w:rFonts w:ascii="Times New Roman" w:hAnsi="Times New Roman"/>
          <w:u w:color="0000FF"/>
          <w:lang w:val="et-EE"/>
        </w:rPr>
        <w:t>Ühtlasi täpsustatakse eelnõuga direktiiv 2009/65/EÜ artikli 50 punkti (2)b) ülevõtvat sätet ning  direktiivi 2019/1160 artikli 1</w:t>
      </w:r>
      <w:r w:rsidR="00E757EF">
        <w:rPr>
          <w:rFonts w:ascii="Times New Roman" w:hAnsi="Times New Roman"/>
          <w:u w:color="0000FF"/>
          <w:lang w:val="et-EE"/>
        </w:rPr>
        <w:t xml:space="preserve"> lõike </w:t>
      </w:r>
      <w:r w:rsidRPr="00215ABE">
        <w:rPr>
          <w:rFonts w:ascii="Times New Roman" w:hAnsi="Times New Roman"/>
          <w:u w:color="0000FF"/>
          <w:lang w:val="et-EE"/>
        </w:rPr>
        <w:t>4</w:t>
      </w:r>
      <w:r w:rsidR="00D36564">
        <w:rPr>
          <w:rFonts w:ascii="Times New Roman" w:hAnsi="Times New Roman"/>
          <w:u w:color="0000FF"/>
          <w:lang w:val="et-EE"/>
        </w:rPr>
        <w:t>,</w:t>
      </w:r>
      <w:r w:rsidRPr="00215ABE">
        <w:rPr>
          <w:rFonts w:ascii="Times New Roman" w:hAnsi="Times New Roman"/>
          <w:u w:color="0000FF"/>
          <w:lang w:val="et-EE"/>
        </w:rPr>
        <w:t xml:space="preserve"> </w:t>
      </w:r>
      <w:r w:rsidR="00E757EF">
        <w:rPr>
          <w:rFonts w:ascii="Times New Roman" w:hAnsi="Times New Roman"/>
          <w:u w:color="0000FF"/>
          <w:lang w:val="et-EE"/>
        </w:rPr>
        <w:t xml:space="preserve">artikli </w:t>
      </w:r>
      <w:r w:rsidR="00D36564">
        <w:rPr>
          <w:rFonts w:ascii="Times New Roman" w:hAnsi="Times New Roman"/>
          <w:u w:color="0000FF"/>
          <w:lang w:val="et-EE"/>
        </w:rPr>
        <w:t>2</w:t>
      </w:r>
      <w:r w:rsidR="00E757EF">
        <w:rPr>
          <w:rFonts w:ascii="Times New Roman" w:hAnsi="Times New Roman"/>
          <w:u w:color="0000FF"/>
          <w:lang w:val="et-EE"/>
        </w:rPr>
        <w:t xml:space="preserve"> lõigete </w:t>
      </w:r>
      <w:r w:rsidR="00D36564">
        <w:rPr>
          <w:rFonts w:ascii="Times New Roman" w:hAnsi="Times New Roman"/>
          <w:u w:color="0000FF"/>
          <w:lang w:val="et-EE"/>
        </w:rPr>
        <w:t xml:space="preserve">4 </w:t>
      </w:r>
      <w:r w:rsidRPr="00215ABE">
        <w:rPr>
          <w:rFonts w:ascii="Times New Roman" w:hAnsi="Times New Roman"/>
          <w:u w:color="0000FF"/>
          <w:lang w:val="et-EE"/>
        </w:rPr>
        <w:t>ja</w:t>
      </w:r>
      <w:r w:rsidR="00E757EF">
        <w:rPr>
          <w:rFonts w:ascii="Times New Roman" w:hAnsi="Times New Roman"/>
          <w:u w:color="0000FF"/>
          <w:lang w:val="et-EE"/>
        </w:rPr>
        <w:t xml:space="preserve"> </w:t>
      </w:r>
      <w:r w:rsidRPr="00215ABE">
        <w:rPr>
          <w:rFonts w:ascii="Times New Roman" w:hAnsi="Times New Roman"/>
          <w:u w:color="0000FF"/>
          <w:lang w:val="et-EE"/>
        </w:rPr>
        <w:t xml:space="preserve">6 ülevõtmissätteid IFS-s. Täpsustused on kooskõlas nimetatud direktiividega. </w:t>
      </w:r>
    </w:p>
    <w:p w14:paraId="6E0660E5" w14:textId="77777777" w:rsidR="006F3AC2" w:rsidRDefault="006F3AC2" w:rsidP="00D32BED">
      <w:pPr>
        <w:widowControl w:val="0"/>
        <w:autoSpaceDE w:val="0"/>
        <w:autoSpaceDN w:val="0"/>
        <w:adjustRightInd w:val="0"/>
        <w:jc w:val="both"/>
        <w:rPr>
          <w:rFonts w:ascii="Times New Roman" w:eastAsia="Hiragino Sans W3" w:hAnsi="Times New Roman"/>
          <w:lang w:val="et-EE"/>
        </w:rPr>
      </w:pPr>
    </w:p>
    <w:p w14:paraId="3EBEABA4" w14:textId="38FFE8AB" w:rsidR="000964A0" w:rsidRDefault="001F1132" w:rsidP="00D32BED">
      <w:pPr>
        <w:widowControl w:val="0"/>
        <w:autoSpaceDE w:val="0"/>
        <w:autoSpaceDN w:val="0"/>
        <w:adjustRightInd w:val="0"/>
        <w:jc w:val="both"/>
        <w:rPr>
          <w:rFonts w:ascii="Times New Roman" w:eastAsia="Hiragino Sans W3" w:hAnsi="Times New Roman"/>
          <w:b/>
          <w:bCs/>
          <w:lang w:val="et-EE"/>
        </w:rPr>
      </w:pPr>
      <w:r w:rsidRPr="00714B20">
        <w:rPr>
          <w:rFonts w:ascii="Times New Roman" w:eastAsia="Hiragino Sans W3" w:hAnsi="Times New Roman"/>
          <w:b/>
          <w:bCs/>
          <w:lang w:val="et-EE"/>
        </w:rPr>
        <w:t xml:space="preserve">6. </w:t>
      </w:r>
      <w:r w:rsidR="00966B16" w:rsidRPr="00714B20">
        <w:rPr>
          <w:rFonts w:ascii="Times New Roman" w:eastAsia="Hiragino Sans W3" w:hAnsi="Times New Roman"/>
          <w:b/>
          <w:bCs/>
          <w:lang w:val="et-EE"/>
        </w:rPr>
        <w:t>Seaduse mõjud</w:t>
      </w:r>
    </w:p>
    <w:p w14:paraId="13E07C6D" w14:textId="5881808F" w:rsidR="00BD69F8" w:rsidRPr="00215ABE" w:rsidRDefault="00BD69F8" w:rsidP="00D32BED">
      <w:pPr>
        <w:widowControl w:val="0"/>
        <w:autoSpaceDE w:val="0"/>
        <w:autoSpaceDN w:val="0"/>
        <w:adjustRightInd w:val="0"/>
        <w:jc w:val="both"/>
        <w:rPr>
          <w:rFonts w:ascii="Times New Roman" w:eastAsia="Hiragino Sans W3" w:hAnsi="Times New Roman"/>
          <w:lang w:val="et-EE"/>
        </w:rPr>
      </w:pPr>
      <w:r w:rsidRPr="00215ABE">
        <w:rPr>
          <w:rFonts w:ascii="Times New Roman" w:eastAsia="Hiragino Sans W3" w:hAnsi="Times New Roman"/>
          <w:lang w:val="et-EE"/>
        </w:rPr>
        <w:t>Eelnõuga tehakse valdavalt tehnilisemat laadi muudatusi.</w:t>
      </w:r>
      <w:r w:rsidR="0017617E">
        <w:rPr>
          <w:rFonts w:ascii="Times New Roman" w:eastAsia="Hiragino Sans W3" w:hAnsi="Times New Roman"/>
          <w:lang w:val="et-EE"/>
        </w:rPr>
        <w:t xml:space="preserve"> Alljärgnevalt on esitatud</w:t>
      </w:r>
      <w:r w:rsidRPr="00215ABE">
        <w:rPr>
          <w:rFonts w:ascii="Times New Roman" w:eastAsia="Hiragino Sans W3" w:hAnsi="Times New Roman"/>
          <w:lang w:val="et-EE"/>
        </w:rPr>
        <w:t xml:space="preserve"> </w:t>
      </w:r>
      <w:r w:rsidR="0017617E">
        <w:rPr>
          <w:rFonts w:ascii="Times New Roman" w:eastAsia="Hiragino Sans W3" w:hAnsi="Times New Roman"/>
          <w:lang w:val="et-EE"/>
        </w:rPr>
        <w:t>mõjuhinnangud kavandatud muudatustele, mis puudutavad jätkusuutlikkusteguritega arvestamise kohta teabe avaldamist II sambas,  PEPPi määruses PEPPi pakkumise kohta sätestatud nõuete rikkumise tagajärjeks olevate väärteokaristuste piirmäärade tõstmist, pensionifondidele lubatud varaklasside laiendamist ja päritud II samba vara pärija pensionikontole viimist.</w:t>
      </w:r>
    </w:p>
    <w:p w14:paraId="269299CA" w14:textId="77777777" w:rsidR="00BD69F8" w:rsidRPr="00215ABE" w:rsidRDefault="00BD69F8" w:rsidP="00D32BED">
      <w:pPr>
        <w:widowControl w:val="0"/>
        <w:autoSpaceDE w:val="0"/>
        <w:autoSpaceDN w:val="0"/>
        <w:adjustRightInd w:val="0"/>
        <w:jc w:val="both"/>
        <w:rPr>
          <w:rFonts w:ascii="Times New Roman" w:eastAsia="Hiragino Sans W3" w:hAnsi="Times New Roman"/>
          <w:b/>
          <w:bCs/>
          <w:lang w:val="et-EE"/>
        </w:rPr>
      </w:pPr>
    </w:p>
    <w:p w14:paraId="38BA2754" w14:textId="7284DCBC" w:rsidR="00992BB6" w:rsidRPr="00D32BED" w:rsidRDefault="00992BB6" w:rsidP="00D32BED">
      <w:pPr>
        <w:widowControl w:val="0"/>
        <w:autoSpaceDE w:val="0"/>
        <w:autoSpaceDN w:val="0"/>
        <w:adjustRightInd w:val="0"/>
        <w:jc w:val="both"/>
        <w:rPr>
          <w:rFonts w:ascii="Times New Roman" w:hAnsi="Times New Roman"/>
          <w:b/>
          <w:kern w:val="1"/>
          <w:lang w:val="et-EE"/>
        </w:rPr>
      </w:pPr>
      <w:r w:rsidRPr="00D32BED">
        <w:rPr>
          <w:rFonts w:ascii="Times New Roman" w:hAnsi="Times New Roman"/>
          <w:b/>
          <w:kern w:val="1"/>
          <w:lang w:val="et-EE"/>
        </w:rPr>
        <w:lastRenderedPageBreak/>
        <w:t>6.1. Jätkusuutlikkusteguritega arvestami</w:t>
      </w:r>
      <w:r w:rsidR="0017617E" w:rsidRPr="00D32BED">
        <w:rPr>
          <w:rFonts w:ascii="Times New Roman" w:hAnsi="Times New Roman"/>
          <w:b/>
          <w:kern w:val="1"/>
          <w:lang w:val="et-EE"/>
        </w:rPr>
        <w:t>s</w:t>
      </w:r>
      <w:r w:rsidRPr="00D32BED">
        <w:rPr>
          <w:rFonts w:ascii="Times New Roman" w:hAnsi="Times New Roman"/>
          <w:b/>
          <w:kern w:val="1"/>
          <w:lang w:val="et-EE"/>
        </w:rPr>
        <w:t>e</w:t>
      </w:r>
      <w:r w:rsidR="0017617E" w:rsidRPr="00D32BED">
        <w:rPr>
          <w:rFonts w:ascii="Times New Roman" w:hAnsi="Times New Roman"/>
          <w:b/>
          <w:kern w:val="1"/>
          <w:lang w:val="et-EE"/>
        </w:rPr>
        <w:t xml:space="preserve"> kohta teabe avaldamine</w:t>
      </w:r>
      <w:r w:rsidRPr="00D32BED">
        <w:rPr>
          <w:rFonts w:ascii="Times New Roman" w:hAnsi="Times New Roman"/>
          <w:b/>
          <w:kern w:val="1"/>
          <w:lang w:val="et-EE"/>
        </w:rPr>
        <w:t xml:space="preserve"> II sambas</w:t>
      </w:r>
    </w:p>
    <w:p w14:paraId="4DA6774A" w14:textId="0589E5DA" w:rsidR="00992BB6" w:rsidRDefault="00992BB6"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 xml:space="preserve">Eelnõu kohustab </w:t>
      </w:r>
      <w:r w:rsidRPr="00992BB6">
        <w:rPr>
          <w:rFonts w:ascii="Times New Roman" w:hAnsi="Times New Roman"/>
          <w:bCs/>
          <w:kern w:val="1"/>
          <w:lang w:val="et-EE"/>
        </w:rPr>
        <w:t>pensionifondi valitseja</w:t>
      </w:r>
      <w:r>
        <w:rPr>
          <w:rFonts w:ascii="Times New Roman" w:hAnsi="Times New Roman"/>
          <w:bCs/>
          <w:kern w:val="1"/>
          <w:lang w:val="et-EE"/>
        </w:rPr>
        <w:t>id</w:t>
      </w:r>
      <w:r w:rsidRPr="00992BB6">
        <w:rPr>
          <w:rFonts w:ascii="Times New Roman" w:hAnsi="Times New Roman"/>
          <w:bCs/>
          <w:kern w:val="1"/>
          <w:lang w:val="et-EE"/>
        </w:rPr>
        <w:t xml:space="preserve"> </w:t>
      </w:r>
      <w:r>
        <w:rPr>
          <w:rFonts w:ascii="Times New Roman" w:hAnsi="Times New Roman"/>
          <w:bCs/>
          <w:kern w:val="1"/>
          <w:lang w:val="et-EE"/>
        </w:rPr>
        <w:t xml:space="preserve">avaldama </w:t>
      </w:r>
      <w:r w:rsidRPr="00992BB6">
        <w:rPr>
          <w:rFonts w:ascii="Times New Roman" w:hAnsi="Times New Roman"/>
          <w:bCs/>
          <w:kern w:val="1"/>
          <w:lang w:val="et-EE"/>
        </w:rPr>
        <w:t>kohustuslik</w:t>
      </w:r>
      <w:r>
        <w:rPr>
          <w:rFonts w:ascii="Times New Roman" w:hAnsi="Times New Roman"/>
          <w:bCs/>
          <w:kern w:val="1"/>
          <w:lang w:val="et-EE"/>
        </w:rPr>
        <w:t>e</w:t>
      </w:r>
      <w:r w:rsidRPr="00992BB6">
        <w:rPr>
          <w:rFonts w:ascii="Times New Roman" w:hAnsi="Times New Roman"/>
          <w:bCs/>
          <w:kern w:val="1"/>
          <w:lang w:val="et-EE"/>
        </w:rPr>
        <w:t xml:space="preserve"> pensionifondi</w:t>
      </w:r>
      <w:r>
        <w:rPr>
          <w:rFonts w:ascii="Times New Roman" w:hAnsi="Times New Roman"/>
          <w:bCs/>
          <w:kern w:val="1"/>
          <w:lang w:val="et-EE"/>
        </w:rPr>
        <w:t>de</w:t>
      </w:r>
      <w:r w:rsidRPr="00992BB6">
        <w:rPr>
          <w:rFonts w:ascii="Times New Roman" w:hAnsi="Times New Roman"/>
          <w:bCs/>
          <w:kern w:val="1"/>
          <w:lang w:val="et-EE"/>
        </w:rPr>
        <w:t xml:space="preserve"> vara investeerimise ja riskide juhtimisega seonduvalt jätkusuutlikkust käsitlevat teavet, järgides määruses 2019/2088 sätestatut. See tingib omakorda määruse 2020/852 kohaldamise, mis kehtestab kriteeriumid, mille alusel määratakse kindlaks, kas majandustegevus liigitatakse keskkonnasäästlikuks, et teha kindlaks investeeringu keskkonnasäästlikkuse määr.</w:t>
      </w:r>
    </w:p>
    <w:p w14:paraId="31D38011" w14:textId="77777777" w:rsidR="00992BB6" w:rsidRDefault="00992BB6" w:rsidP="00D32BED">
      <w:pPr>
        <w:widowControl w:val="0"/>
        <w:autoSpaceDE w:val="0"/>
        <w:autoSpaceDN w:val="0"/>
        <w:adjustRightInd w:val="0"/>
        <w:jc w:val="both"/>
        <w:rPr>
          <w:rFonts w:ascii="Times New Roman" w:hAnsi="Times New Roman"/>
          <w:bCs/>
          <w:kern w:val="1"/>
          <w:lang w:val="et-EE"/>
        </w:rPr>
      </w:pPr>
    </w:p>
    <w:p w14:paraId="3138C166" w14:textId="1643900C" w:rsidR="00995394" w:rsidRDefault="00992BB6" w:rsidP="00D32BED">
      <w:pPr>
        <w:widowControl w:val="0"/>
        <w:autoSpaceDE w:val="0"/>
        <w:autoSpaceDN w:val="0"/>
        <w:adjustRightInd w:val="0"/>
        <w:jc w:val="both"/>
        <w:rPr>
          <w:rFonts w:ascii="Times New Roman" w:hAnsi="Times New Roman"/>
          <w:bCs/>
          <w:kern w:val="1"/>
          <w:lang w:val="et-EE"/>
        </w:rPr>
      </w:pPr>
      <w:r w:rsidRPr="00992BB6">
        <w:rPr>
          <w:rFonts w:ascii="Times New Roman" w:hAnsi="Times New Roman"/>
          <w:bCs/>
          <w:kern w:val="1"/>
          <w:lang w:val="et-EE"/>
        </w:rPr>
        <w:t xml:space="preserve">Määruse 2019/2088 kohaselt tuleb finantsturu osalistel avaldada oma veebilehtedel mitmesugust teavet jätkusuutlikkusriskide kohta, sealhulgas näiteks põhimõtete kohta, mida nad järgivad jätkusuutlikkusriskide lõimimisel investeerimisotsuste langetamise protsessi, hoiatavat teavet selle kohta, kui nad leiavad, et investeerimisotsused mõjutavad jätkusuutlikkustegureid põhiliselt negatiivselt või kui investeeringute tegemisel selliseid mõjusid ei hinnata ega arvestata, siis põhjendused selle kohta. </w:t>
      </w:r>
    </w:p>
    <w:p w14:paraId="3B2DD6FD" w14:textId="77777777" w:rsidR="00995394" w:rsidRDefault="00995394" w:rsidP="00D32BED">
      <w:pPr>
        <w:widowControl w:val="0"/>
        <w:autoSpaceDE w:val="0"/>
        <w:autoSpaceDN w:val="0"/>
        <w:adjustRightInd w:val="0"/>
        <w:jc w:val="both"/>
        <w:rPr>
          <w:rFonts w:ascii="Times New Roman" w:hAnsi="Times New Roman"/>
          <w:bCs/>
          <w:kern w:val="1"/>
          <w:lang w:val="et-EE"/>
        </w:rPr>
      </w:pPr>
    </w:p>
    <w:p w14:paraId="506E661C" w14:textId="7699892C" w:rsidR="00992BB6" w:rsidRDefault="00992BB6"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 xml:space="preserve">Määrus ei näe aga ette nõudeid ega piiranguid sellele, kuhu pensionifondi vara investeerida võiks või ei tohiks. </w:t>
      </w:r>
      <w:r w:rsidR="00995394">
        <w:rPr>
          <w:rFonts w:ascii="Times New Roman" w:hAnsi="Times New Roman"/>
          <w:bCs/>
          <w:kern w:val="1"/>
          <w:lang w:val="et-EE"/>
        </w:rPr>
        <w:t xml:space="preserve">Nii saavad sotsiaalsed mõjud ja mõjud looduskeskkonnale kaasneda vaid kaudselt ning arvestades pensionifondide kohta avaldatava teabe kohta kujunenud praktikat </w:t>
      </w:r>
      <w:r w:rsidR="00CB09D4">
        <w:rPr>
          <w:rFonts w:ascii="Times New Roman" w:hAnsi="Times New Roman"/>
          <w:bCs/>
          <w:kern w:val="1"/>
          <w:lang w:val="et-EE"/>
        </w:rPr>
        <w:t>(vt mõju ulatus ja suurus) jääb see võimalik kaudne mõju ka pigem olematuks.</w:t>
      </w:r>
      <w:r w:rsidR="00995394">
        <w:rPr>
          <w:rFonts w:ascii="Times New Roman" w:hAnsi="Times New Roman"/>
          <w:bCs/>
          <w:kern w:val="1"/>
          <w:lang w:val="et-EE"/>
        </w:rPr>
        <w:t xml:space="preserve"> </w:t>
      </w:r>
    </w:p>
    <w:p w14:paraId="365022B4" w14:textId="77777777" w:rsidR="00992BB6" w:rsidRDefault="00992BB6" w:rsidP="00D32BED">
      <w:pPr>
        <w:widowControl w:val="0"/>
        <w:autoSpaceDE w:val="0"/>
        <w:autoSpaceDN w:val="0"/>
        <w:adjustRightInd w:val="0"/>
        <w:jc w:val="both"/>
        <w:rPr>
          <w:rFonts w:ascii="Times New Roman" w:hAnsi="Times New Roman"/>
          <w:bCs/>
          <w:kern w:val="1"/>
          <w:lang w:val="et-EE"/>
        </w:rPr>
      </w:pPr>
    </w:p>
    <w:p w14:paraId="4D2522E1" w14:textId="45A87C60" w:rsidR="008D00F6" w:rsidRDefault="008D00F6" w:rsidP="00D32BED">
      <w:pPr>
        <w:widowControl w:val="0"/>
        <w:autoSpaceDE w:val="0"/>
        <w:autoSpaceDN w:val="0"/>
        <w:adjustRightInd w:val="0"/>
        <w:jc w:val="both"/>
        <w:rPr>
          <w:rFonts w:ascii="Times New Roman" w:hAnsi="Times New Roman"/>
          <w:bCs/>
          <w:kern w:val="1"/>
          <w:lang w:val="et-EE"/>
        </w:rPr>
      </w:pPr>
      <w:r w:rsidRPr="008D00F6">
        <w:rPr>
          <w:rFonts w:ascii="Times New Roman" w:hAnsi="Times New Roman"/>
          <w:b/>
          <w:kern w:val="1"/>
          <w:lang w:val="et-EE"/>
        </w:rPr>
        <w:t>Sihtrühmaks</w:t>
      </w:r>
      <w:r>
        <w:rPr>
          <w:rFonts w:ascii="Times New Roman" w:hAnsi="Times New Roman"/>
          <w:bCs/>
          <w:kern w:val="1"/>
          <w:lang w:val="et-EE"/>
        </w:rPr>
        <w:t xml:space="preserve"> </w:t>
      </w:r>
      <w:r w:rsidR="001F33D6" w:rsidRPr="001F33D6">
        <w:rPr>
          <w:rFonts w:ascii="Times New Roman" w:hAnsi="Times New Roman"/>
          <w:b/>
          <w:kern w:val="1"/>
          <w:lang w:val="et-EE"/>
        </w:rPr>
        <w:t>1</w:t>
      </w:r>
      <w:r w:rsidR="001F33D6">
        <w:rPr>
          <w:rFonts w:ascii="Times New Roman" w:hAnsi="Times New Roman"/>
          <w:bCs/>
          <w:kern w:val="1"/>
          <w:lang w:val="et-EE"/>
        </w:rPr>
        <w:t xml:space="preserve"> </w:t>
      </w:r>
      <w:r>
        <w:rPr>
          <w:rFonts w:ascii="Times New Roman" w:hAnsi="Times New Roman"/>
          <w:bCs/>
          <w:kern w:val="1"/>
          <w:lang w:val="et-EE"/>
        </w:rPr>
        <w:t xml:space="preserve">on kohustusliku pensionifondi valitsejad, keda Eestis on 5. </w:t>
      </w:r>
    </w:p>
    <w:p w14:paraId="48233939" w14:textId="77777777" w:rsidR="008D00F6" w:rsidRDefault="008D00F6" w:rsidP="00D32BED">
      <w:pPr>
        <w:widowControl w:val="0"/>
        <w:autoSpaceDE w:val="0"/>
        <w:autoSpaceDN w:val="0"/>
        <w:adjustRightInd w:val="0"/>
        <w:jc w:val="both"/>
        <w:rPr>
          <w:rFonts w:ascii="Times New Roman" w:hAnsi="Times New Roman"/>
          <w:bCs/>
          <w:kern w:val="1"/>
          <w:lang w:val="et-EE"/>
        </w:rPr>
      </w:pPr>
    </w:p>
    <w:p w14:paraId="665FA1CA" w14:textId="2F40AB10" w:rsidR="008D00F6" w:rsidRDefault="008D00F6" w:rsidP="00D32BED">
      <w:pPr>
        <w:widowControl w:val="0"/>
        <w:autoSpaceDE w:val="0"/>
        <w:autoSpaceDN w:val="0"/>
        <w:adjustRightInd w:val="0"/>
        <w:jc w:val="both"/>
        <w:rPr>
          <w:rFonts w:ascii="Times New Roman" w:hAnsi="Times New Roman"/>
          <w:bCs/>
          <w:kern w:val="1"/>
          <w:lang w:val="et-EE"/>
        </w:rPr>
      </w:pPr>
      <w:r w:rsidRPr="001F33D6">
        <w:rPr>
          <w:rFonts w:ascii="Times New Roman" w:hAnsi="Times New Roman"/>
          <w:b/>
          <w:kern w:val="1"/>
          <w:lang w:val="et-EE"/>
        </w:rPr>
        <w:t>Mõju ulatus ja suurus</w:t>
      </w:r>
      <w:r w:rsidR="001F33D6">
        <w:rPr>
          <w:rFonts w:ascii="Times New Roman" w:hAnsi="Times New Roman"/>
          <w:bCs/>
          <w:kern w:val="1"/>
          <w:lang w:val="et-EE"/>
        </w:rPr>
        <w:t>. M</w:t>
      </w:r>
      <w:r>
        <w:rPr>
          <w:rFonts w:ascii="Times New Roman" w:hAnsi="Times New Roman"/>
          <w:bCs/>
          <w:kern w:val="1"/>
          <w:lang w:val="et-EE"/>
        </w:rPr>
        <w:t>ääruse rakendamise mõjud pensionifondi valitsejatele</w:t>
      </w:r>
      <w:r w:rsidR="0004675A">
        <w:rPr>
          <w:rFonts w:ascii="Times New Roman" w:hAnsi="Times New Roman"/>
          <w:bCs/>
          <w:kern w:val="1"/>
          <w:lang w:val="et-EE"/>
        </w:rPr>
        <w:t xml:space="preserve"> </w:t>
      </w:r>
      <w:r>
        <w:rPr>
          <w:rFonts w:ascii="Times New Roman" w:hAnsi="Times New Roman"/>
          <w:bCs/>
          <w:kern w:val="1"/>
          <w:lang w:val="et-EE"/>
        </w:rPr>
        <w:t>piirdu</w:t>
      </w:r>
      <w:r w:rsidR="00CB09D4">
        <w:rPr>
          <w:rFonts w:ascii="Times New Roman" w:hAnsi="Times New Roman"/>
          <w:bCs/>
          <w:kern w:val="1"/>
          <w:lang w:val="et-EE"/>
        </w:rPr>
        <w:t>ksid</w:t>
      </w:r>
      <w:r>
        <w:rPr>
          <w:rFonts w:ascii="Times New Roman" w:hAnsi="Times New Roman"/>
          <w:bCs/>
          <w:kern w:val="1"/>
          <w:lang w:val="et-EE"/>
        </w:rPr>
        <w:t xml:space="preserve"> peamiselt halduskoormuse tõusu ja mõningal määral majanduslike mõjudega (kulude kasv). Kaudselt või</w:t>
      </w:r>
      <w:r w:rsidR="001F33D6">
        <w:rPr>
          <w:rFonts w:ascii="Times New Roman" w:hAnsi="Times New Roman"/>
          <w:bCs/>
          <w:kern w:val="1"/>
          <w:lang w:val="et-EE"/>
        </w:rPr>
        <w:t>ks</w:t>
      </w:r>
      <w:r>
        <w:rPr>
          <w:rFonts w:ascii="Times New Roman" w:hAnsi="Times New Roman"/>
          <w:bCs/>
          <w:kern w:val="1"/>
          <w:lang w:val="et-EE"/>
        </w:rPr>
        <w:t xml:space="preserve"> avalikustamine mõjutada ka pensionifondide investeeringuid jätkusuutlikkusteguritega </w:t>
      </w:r>
      <w:r w:rsidR="001F33D6">
        <w:rPr>
          <w:rFonts w:ascii="Times New Roman" w:hAnsi="Times New Roman"/>
          <w:bCs/>
          <w:kern w:val="1"/>
          <w:lang w:val="et-EE"/>
        </w:rPr>
        <w:t xml:space="preserve">enama </w:t>
      </w:r>
      <w:r>
        <w:rPr>
          <w:rFonts w:ascii="Times New Roman" w:hAnsi="Times New Roman"/>
          <w:bCs/>
          <w:kern w:val="1"/>
          <w:lang w:val="et-EE"/>
        </w:rPr>
        <w:t>arvestamise suunas. Praktikas valitsevad aga k</w:t>
      </w:r>
      <w:r w:rsidR="00992BB6" w:rsidRPr="00992BB6">
        <w:rPr>
          <w:rFonts w:ascii="Times New Roman" w:hAnsi="Times New Roman"/>
          <w:bCs/>
          <w:kern w:val="1"/>
          <w:lang w:val="et-EE"/>
        </w:rPr>
        <w:t xml:space="preserve">ohustuslike pensionifondide valitsejad </w:t>
      </w:r>
      <w:r w:rsidR="001F33D6">
        <w:rPr>
          <w:rFonts w:ascii="Times New Roman" w:hAnsi="Times New Roman"/>
          <w:bCs/>
          <w:kern w:val="1"/>
          <w:lang w:val="et-EE"/>
        </w:rPr>
        <w:t xml:space="preserve">lisaks ka </w:t>
      </w:r>
      <w:r w:rsidR="00992BB6" w:rsidRPr="00992BB6">
        <w:rPr>
          <w:rFonts w:ascii="Times New Roman" w:hAnsi="Times New Roman"/>
          <w:bCs/>
          <w:kern w:val="1"/>
          <w:lang w:val="et-EE"/>
        </w:rPr>
        <w:t xml:space="preserve">vabatahtlikke pensionifonde </w:t>
      </w:r>
      <w:r>
        <w:rPr>
          <w:rFonts w:ascii="Times New Roman" w:hAnsi="Times New Roman"/>
          <w:bCs/>
          <w:kern w:val="1"/>
          <w:lang w:val="et-EE"/>
        </w:rPr>
        <w:t xml:space="preserve">ning </w:t>
      </w:r>
      <w:r w:rsidR="00992BB6" w:rsidRPr="00992BB6">
        <w:rPr>
          <w:rFonts w:ascii="Times New Roman" w:hAnsi="Times New Roman"/>
          <w:bCs/>
          <w:kern w:val="1"/>
          <w:lang w:val="et-EE"/>
        </w:rPr>
        <w:t>osa</w:t>
      </w:r>
      <w:r>
        <w:rPr>
          <w:rFonts w:ascii="Times New Roman" w:hAnsi="Times New Roman"/>
          <w:bCs/>
          <w:kern w:val="1"/>
          <w:lang w:val="et-EE"/>
        </w:rPr>
        <w:t>d</w:t>
      </w:r>
      <w:r w:rsidR="00992BB6" w:rsidRPr="00992BB6">
        <w:rPr>
          <w:rFonts w:ascii="Times New Roman" w:hAnsi="Times New Roman"/>
          <w:bCs/>
          <w:kern w:val="1"/>
          <w:lang w:val="et-EE"/>
        </w:rPr>
        <w:t xml:space="preserve"> neist ka eurofonde või alternatiivfonde, mille kõigi puhul tuleb jätkusuutlikkust käsitlevat teavet </w:t>
      </w:r>
      <w:r w:rsidR="001F33D6">
        <w:rPr>
          <w:rFonts w:ascii="Times New Roman" w:hAnsi="Times New Roman"/>
          <w:bCs/>
          <w:kern w:val="1"/>
          <w:lang w:val="et-EE"/>
        </w:rPr>
        <w:t xml:space="preserve">määruse kohaselt juba </w:t>
      </w:r>
      <w:r w:rsidR="00992BB6" w:rsidRPr="00992BB6">
        <w:rPr>
          <w:rFonts w:ascii="Times New Roman" w:hAnsi="Times New Roman"/>
          <w:bCs/>
          <w:kern w:val="1"/>
          <w:lang w:val="et-EE"/>
        </w:rPr>
        <w:t xml:space="preserve">nagunii avaldada. Teada olevalt on praktikas vähemalt enamik pensionifondi valitsejaid määruses sätestatud põhimõtteid </w:t>
      </w:r>
      <w:r w:rsidR="001F33D6">
        <w:rPr>
          <w:rFonts w:ascii="Times New Roman" w:hAnsi="Times New Roman"/>
          <w:bCs/>
          <w:kern w:val="1"/>
          <w:lang w:val="et-EE"/>
        </w:rPr>
        <w:t xml:space="preserve">vabatahtlikult </w:t>
      </w:r>
      <w:r w:rsidR="00992BB6" w:rsidRPr="00992BB6">
        <w:rPr>
          <w:rFonts w:ascii="Times New Roman" w:hAnsi="Times New Roman"/>
          <w:bCs/>
          <w:kern w:val="1"/>
          <w:lang w:val="et-EE"/>
        </w:rPr>
        <w:t xml:space="preserve">kohustuslike pensionifondide puhul ka </w:t>
      </w:r>
      <w:r>
        <w:rPr>
          <w:rFonts w:ascii="Times New Roman" w:hAnsi="Times New Roman"/>
          <w:bCs/>
          <w:kern w:val="1"/>
          <w:lang w:val="et-EE"/>
        </w:rPr>
        <w:t xml:space="preserve">juba </w:t>
      </w:r>
      <w:r w:rsidR="00992BB6" w:rsidRPr="00992BB6">
        <w:rPr>
          <w:rFonts w:ascii="Times New Roman" w:hAnsi="Times New Roman"/>
          <w:bCs/>
          <w:kern w:val="1"/>
          <w:lang w:val="et-EE"/>
        </w:rPr>
        <w:t>rakendanud.</w:t>
      </w:r>
      <w:r>
        <w:rPr>
          <w:rFonts w:ascii="Times New Roman" w:hAnsi="Times New Roman"/>
          <w:bCs/>
          <w:kern w:val="1"/>
          <w:lang w:val="et-EE"/>
        </w:rPr>
        <w:t xml:space="preserve"> Seega võib eelnõu</w:t>
      </w:r>
      <w:r w:rsidR="001F33D6">
        <w:rPr>
          <w:rFonts w:ascii="Times New Roman" w:hAnsi="Times New Roman"/>
          <w:bCs/>
          <w:kern w:val="1"/>
          <w:lang w:val="et-EE"/>
        </w:rPr>
        <w:t>s sätestatud avalikustamise kohustuse</w:t>
      </w:r>
      <w:r>
        <w:rPr>
          <w:rFonts w:ascii="Times New Roman" w:hAnsi="Times New Roman"/>
          <w:bCs/>
          <w:kern w:val="1"/>
          <w:lang w:val="et-EE"/>
        </w:rPr>
        <w:t xml:space="preserve"> mõju pensionifondi valitsejatele praktikas pidada väga väikseks</w:t>
      </w:r>
      <w:r w:rsidR="001F33D6">
        <w:rPr>
          <w:rFonts w:ascii="Times New Roman" w:hAnsi="Times New Roman"/>
          <w:bCs/>
          <w:kern w:val="1"/>
          <w:lang w:val="et-EE"/>
        </w:rPr>
        <w:t xml:space="preserve"> või isegi olematuks</w:t>
      </w:r>
      <w:r>
        <w:rPr>
          <w:rFonts w:ascii="Times New Roman" w:hAnsi="Times New Roman"/>
          <w:bCs/>
          <w:kern w:val="1"/>
          <w:lang w:val="et-EE"/>
        </w:rPr>
        <w:t xml:space="preserve">. </w:t>
      </w:r>
    </w:p>
    <w:p w14:paraId="7C852EC5" w14:textId="77777777" w:rsidR="008D00F6" w:rsidRDefault="008D00F6" w:rsidP="00D32BED">
      <w:pPr>
        <w:widowControl w:val="0"/>
        <w:autoSpaceDE w:val="0"/>
        <w:autoSpaceDN w:val="0"/>
        <w:adjustRightInd w:val="0"/>
        <w:jc w:val="both"/>
        <w:rPr>
          <w:rFonts w:ascii="Times New Roman" w:hAnsi="Times New Roman"/>
          <w:bCs/>
          <w:kern w:val="1"/>
          <w:lang w:val="et-EE"/>
        </w:rPr>
      </w:pPr>
    </w:p>
    <w:p w14:paraId="166BB5EF" w14:textId="601F6B21" w:rsidR="001F33D6" w:rsidRDefault="001F33D6" w:rsidP="00D32BED">
      <w:pPr>
        <w:widowControl w:val="0"/>
        <w:autoSpaceDE w:val="0"/>
        <w:autoSpaceDN w:val="0"/>
        <w:adjustRightInd w:val="0"/>
        <w:jc w:val="both"/>
        <w:rPr>
          <w:rFonts w:ascii="Times New Roman" w:hAnsi="Times New Roman"/>
          <w:bCs/>
          <w:kern w:val="1"/>
          <w:lang w:val="et-EE"/>
        </w:rPr>
      </w:pPr>
      <w:r w:rsidRPr="001F33D6">
        <w:rPr>
          <w:rFonts w:ascii="Times New Roman" w:hAnsi="Times New Roman"/>
          <w:b/>
          <w:kern w:val="1"/>
          <w:lang w:val="et-EE"/>
        </w:rPr>
        <w:t>Sihtrühmaks 2</w:t>
      </w:r>
      <w:r>
        <w:rPr>
          <w:rFonts w:ascii="Times New Roman" w:hAnsi="Times New Roman"/>
          <w:bCs/>
          <w:kern w:val="1"/>
          <w:lang w:val="et-EE"/>
        </w:rPr>
        <w:t xml:space="preserve"> on II samba pensionikogujad, keda 202</w:t>
      </w:r>
      <w:r w:rsidR="00CB09D4">
        <w:rPr>
          <w:rFonts w:ascii="Times New Roman" w:hAnsi="Times New Roman"/>
          <w:bCs/>
          <w:kern w:val="1"/>
          <w:lang w:val="et-EE"/>
        </w:rPr>
        <w:t>4</w:t>
      </w:r>
      <w:r>
        <w:rPr>
          <w:rFonts w:ascii="Times New Roman" w:hAnsi="Times New Roman"/>
          <w:bCs/>
          <w:kern w:val="1"/>
          <w:lang w:val="et-EE"/>
        </w:rPr>
        <w:t xml:space="preserve">. aasta </w:t>
      </w:r>
      <w:r w:rsidR="00CB09D4">
        <w:rPr>
          <w:rFonts w:ascii="Times New Roman" w:hAnsi="Times New Roman"/>
          <w:bCs/>
          <w:kern w:val="1"/>
          <w:lang w:val="et-EE"/>
        </w:rPr>
        <w:t>jaanuari</w:t>
      </w:r>
      <w:r>
        <w:rPr>
          <w:rFonts w:ascii="Times New Roman" w:hAnsi="Times New Roman"/>
          <w:bCs/>
          <w:kern w:val="1"/>
          <w:lang w:val="et-EE"/>
        </w:rPr>
        <w:t xml:space="preserve"> seisuga on u 51</w:t>
      </w:r>
      <w:r w:rsidR="00CB09D4">
        <w:rPr>
          <w:rFonts w:ascii="Times New Roman" w:hAnsi="Times New Roman"/>
          <w:bCs/>
          <w:kern w:val="1"/>
          <w:lang w:val="et-EE"/>
        </w:rPr>
        <w:t>0</w:t>
      </w:r>
      <w:r>
        <w:rPr>
          <w:rFonts w:ascii="Times New Roman" w:hAnsi="Times New Roman"/>
          <w:bCs/>
          <w:kern w:val="1"/>
          <w:lang w:val="et-EE"/>
        </w:rPr>
        <w:t> </w:t>
      </w:r>
      <w:r w:rsidR="00CB09D4">
        <w:rPr>
          <w:rFonts w:ascii="Times New Roman" w:hAnsi="Times New Roman"/>
          <w:bCs/>
          <w:kern w:val="1"/>
          <w:lang w:val="et-EE"/>
        </w:rPr>
        <w:t>0</w:t>
      </w:r>
      <w:r>
        <w:rPr>
          <w:rFonts w:ascii="Times New Roman" w:hAnsi="Times New Roman"/>
          <w:bCs/>
          <w:kern w:val="1"/>
          <w:lang w:val="et-EE"/>
        </w:rPr>
        <w:t xml:space="preserve">00.  </w:t>
      </w:r>
    </w:p>
    <w:p w14:paraId="5FB6EE8B" w14:textId="77777777" w:rsidR="001F33D6" w:rsidRDefault="001F33D6" w:rsidP="00D32BED">
      <w:pPr>
        <w:widowControl w:val="0"/>
        <w:autoSpaceDE w:val="0"/>
        <w:autoSpaceDN w:val="0"/>
        <w:adjustRightInd w:val="0"/>
        <w:jc w:val="both"/>
        <w:rPr>
          <w:rFonts w:ascii="Times New Roman" w:hAnsi="Times New Roman"/>
          <w:bCs/>
          <w:kern w:val="1"/>
          <w:lang w:val="et-EE"/>
        </w:rPr>
      </w:pPr>
    </w:p>
    <w:p w14:paraId="7197084E" w14:textId="21242A37" w:rsidR="008D00F6" w:rsidRDefault="001F33D6" w:rsidP="00D32BED">
      <w:pPr>
        <w:widowControl w:val="0"/>
        <w:autoSpaceDE w:val="0"/>
        <w:autoSpaceDN w:val="0"/>
        <w:adjustRightInd w:val="0"/>
        <w:jc w:val="both"/>
        <w:rPr>
          <w:rFonts w:ascii="Times New Roman" w:hAnsi="Times New Roman"/>
          <w:bCs/>
          <w:kern w:val="1"/>
          <w:lang w:val="et-EE"/>
        </w:rPr>
      </w:pPr>
      <w:r w:rsidRPr="001F33D6">
        <w:rPr>
          <w:rFonts w:ascii="Times New Roman" w:hAnsi="Times New Roman"/>
          <w:b/>
          <w:kern w:val="1"/>
          <w:lang w:val="et-EE"/>
        </w:rPr>
        <w:t>Mõju ulatus ja suurus.</w:t>
      </w:r>
      <w:r>
        <w:rPr>
          <w:rFonts w:ascii="Times New Roman" w:hAnsi="Times New Roman"/>
          <w:bCs/>
          <w:kern w:val="1"/>
          <w:lang w:val="et-EE"/>
        </w:rPr>
        <w:t xml:space="preserve"> </w:t>
      </w:r>
      <w:r w:rsidR="00A244FC">
        <w:rPr>
          <w:rFonts w:ascii="Times New Roman" w:hAnsi="Times New Roman"/>
          <w:bCs/>
          <w:kern w:val="1"/>
          <w:lang w:val="et-EE"/>
        </w:rPr>
        <w:t>Muudatusel on</w:t>
      </w:r>
      <w:r w:rsidR="008D00F6">
        <w:rPr>
          <w:rFonts w:ascii="Times New Roman" w:hAnsi="Times New Roman"/>
          <w:bCs/>
          <w:kern w:val="1"/>
          <w:lang w:val="et-EE"/>
        </w:rPr>
        <w:t xml:space="preserve"> praktikas mõju </w:t>
      </w:r>
      <w:r w:rsidR="00A244FC">
        <w:rPr>
          <w:rFonts w:ascii="Times New Roman" w:hAnsi="Times New Roman"/>
          <w:bCs/>
          <w:kern w:val="1"/>
          <w:lang w:val="et-EE"/>
        </w:rPr>
        <w:t xml:space="preserve">siiski </w:t>
      </w:r>
      <w:r w:rsidR="008D00F6">
        <w:rPr>
          <w:rFonts w:ascii="Times New Roman" w:hAnsi="Times New Roman"/>
          <w:bCs/>
          <w:kern w:val="1"/>
          <w:lang w:val="et-EE"/>
        </w:rPr>
        <w:t>väike</w:t>
      </w:r>
      <w:r>
        <w:rPr>
          <w:rFonts w:ascii="Times New Roman" w:hAnsi="Times New Roman"/>
          <w:bCs/>
          <w:kern w:val="1"/>
          <w:lang w:val="et-EE"/>
        </w:rPr>
        <w:t xml:space="preserve"> või isegi puudub</w:t>
      </w:r>
      <w:r w:rsidR="008D00F6">
        <w:rPr>
          <w:rFonts w:ascii="Times New Roman" w:hAnsi="Times New Roman"/>
          <w:bCs/>
          <w:kern w:val="1"/>
          <w:lang w:val="et-EE"/>
        </w:rPr>
        <w:t xml:space="preserve">. </w:t>
      </w:r>
      <w:r w:rsidR="00A244FC">
        <w:rPr>
          <w:rFonts w:ascii="Times New Roman" w:hAnsi="Times New Roman"/>
          <w:bCs/>
          <w:kern w:val="1"/>
          <w:lang w:val="et-EE"/>
        </w:rPr>
        <w:t xml:space="preserve">Seda eelkõige põhjusel, et fondivalitsejad avaldavad jätkusuutlikkust puudutavat teavet oma kohustuslike pensionifondide kohta vabatahtlikult juba nagunii ning enamike pensionifondide puhul tehakse seda ka määruse </w:t>
      </w:r>
      <w:r w:rsidR="00A244FC" w:rsidRPr="00A244FC">
        <w:rPr>
          <w:rFonts w:ascii="Times New Roman" w:hAnsi="Times New Roman"/>
          <w:bCs/>
          <w:kern w:val="1"/>
          <w:lang w:val="et-EE"/>
        </w:rPr>
        <w:t>2019/2088</w:t>
      </w:r>
      <w:r w:rsidR="00A244FC">
        <w:rPr>
          <w:rFonts w:ascii="Times New Roman" w:hAnsi="Times New Roman"/>
          <w:bCs/>
          <w:kern w:val="1"/>
          <w:lang w:val="et-EE"/>
        </w:rPr>
        <w:t xml:space="preserve"> kohaselt. Mõne üksiku pensionifondi puhul tingib muudatus vajaduse seda teavet senisest detailsemalt avaldama hakata. Need on fondid, mille kohta jätkusuutlikkust puudutavad põhimõtted küll avaldatud, kuid pole seda tehtud määruse 2019/2088 kohaselt. Kokkuvõttes on pensionikogujatel ka seni olnud seega võimalik jätkusuutlikkustegureid soovi korral pensionifondi valikul arvesse võtta.  </w:t>
      </w:r>
      <w:r w:rsidR="008D00F6">
        <w:rPr>
          <w:rFonts w:ascii="Times New Roman" w:hAnsi="Times New Roman"/>
          <w:bCs/>
          <w:kern w:val="1"/>
          <w:lang w:val="et-EE"/>
        </w:rPr>
        <w:t xml:space="preserve"> </w:t>
      </w:r>
      <w:r w:rsidR="00992BB6" w:rsidRPr="00992BB6">
        <w:rPr>
          <w:rFonts w:ascii="Times New Roman" w:hAnsi="Times New Roman"/>
          <w:bCs/>
          <w:kern w:val="1"/>
          <w:lang w:val="et-EE"/>
        </w:rPr>
        <w:t xml:space="preserve"> </w:t>
      </w:r>
    </w:p>
    <w:p w14:paraId="4166E98A" w14:textId="77777777" w:rsidR="008D00F6" w:rsidRDefault="008D00F6" w:rsidP="00D32BED">
      <w:pPr>
        <w:widowControl w:val="0"/>
        <w:autoSpaceDE w:val="0"/>
        <w:autoSpaceDN w:val="0"/>
        <w:adjustRightInd w:val="0"/>
        <w:jc w:val="both"/>
        <w:rPr>
          <w:rFonts w:ascii="Times New Roman" w:hAnsi="Times New Roman"/>
          <w:bCs/>
          <w:kern w:val="1"/>
          <w:lang w:val="et-EE"/>
        </w:rPr>
      </w:pPr>
    </w:p>
    <w:p w14:paraId="04182AA5" w14:textId="1164E497" w:rsidR="00E422FC" w:rsidRDefault="00A244FC"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 xml:space="preserve">Tõendid selle kohta, kas jätkusuutlikkuse teabe avaldamine mõjutaks investorite käitumist või fondide tasusid Eestis, eelnõu koostajatel puuduvad. Võib eeldada, et investorite puhul, kellele jätkusuutlikkuse teemad on väga olulised, sellise teabe kättesaadavus investeeringute valikut mõjutab. </w:t>
      </w:r>
    </w:p>
    <w:p w14:paraId="6E849236" w14:textId="77777777" w:rsidR="00E422FC" w:rsidRDefault="00E422FC" w:rsidP="00D32BED">
      <w:pPr>
        <w:widowControl w:val="0"/>
        <w:autoSpaceDE w:val="0"/>
        <w:autoSpaceDN w:val="0"/>
        <w:adjustRightInd w:val="0"/>
        <w:jc w:val="both"/>
        <w:rPr>
          <w:rFonts w:ascii="Times New Roman" w:hAnsi="Times New Roman"/>
          <w:bCs/>
          <w:kern w:val="1"/>
          <w:lang w:val="et-EE"/>
        </w:rPr>
      </w:pPr>
    </w:p>
    <w:p w14:paraId="0C01BED5" w14:textId="305DBC96" w:rsidR="001F33D6" w:rsidRPr="00D32BED" w:rsidRDefault="001F33D6" w:rsidP="00D32BED">
      <w:pPr>
        <w:widowControl w:val="0"/>
        <w:tabs>
          <w:tab w:val="left" w:pos="1560"/>
        </w:tabs>
        <w:autoSpaceDE w:val="0"/>
        <w:autoSpaceDN w:val="0"/>
        <w:adjustRightInd w:val="0"/>
        <w:jc w:val="both"/>
        <w:rPr>
          <w:rFonts w:ascii="Times New Roman" w:hAnsi="Times New Roman"/>
          <w:b/>
          <w:bCs/>
          <w:u w:color="0000FF"/>
          <w:lang w:val="et-EE"/>
        </w:rPr>
      </w:pPr>
      <w:r w:rsidRPr="00D32BED">
        <w:rPr>
          <w:rFonts w:ascii="Times New Roman" w:hAnsi="Times New Roman"/>
          <w:b/>
          <w:kern w:val="1"/>
          <w:lang w:val="et-EE"/>
        </w:rPr>
        <w:t>6.2.</w:t>
      </w:r>
      <w:r w:rsidRPr="00D32BED">
        <w:rPr>
          <w:rFonts w:ascii="Times New Roman" w:hAnsi="Times New Roman"/>
          <w:bCs/>
          <w:kern w:val="1"/>
          <w:lang w:val="et-EE"/>
        </w:rPr>
        <w:t xml:space="preserve"> </w:t>
      </w:r>
      <w:r w:rsidRPr="00D32BED">
        <w:rPr>
          <w:rFonts w:ascii="Times New Roman" w:hAnsi="Times New Roman"/>
          <w:b/>
          <w:bCs/>
          <w:u w:color="0000FF"/>
          <w:lang w:val="et-EE"/>
        </w:rPr>
        <w:t>Üleeuroopalise personaalse pensionitoote PEPPi pakkumise suhtes kehtivate nõuete rikkumise tagajärjeks olevate väärteokaristuste piirmäärade tõstmine</w:t>
      </w:r>
    </w:p>
    <w:p w14:paraId="4D761349" w14:textId="644ABC18" w:rsidR="001F33D6" w:rsidRDefault="001F33D6"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Finantsvaldkonna väärteokaristuste reformiga jäid ajakohastamata </w:t>
      </w:r>
      <w:r w:rsidR="00D36564">
        <w:rPr>
          <w:rFonts w:ascii="Times New Roman" w:hAnsi="Times New Roman"/>
          <w:u w:color="0000FF"/>
          <w:lang w:val="et-EE"/>
        </w:rPr>
        <w:t>PEPPi määruses</w:t>
      </w:r>
      <w:r>
        <w:rPr>
          <w:rFonts w:ascii="Times New Roman" w:hAnsi="Times New Roman"/>
          <w:u w:color="0000FF"/>
          <w:lang w:val="et-EE"/>
        </w:rPr>
        <w:t xml:space="preserve"> sätestatud nõuete rikkumisega kaasnevate väärteokaristuste piirmäärad erinevates finantssektori </w:t>
      </w:r>
      <w:r>
        <w:rPr>
          <w:rFonts w:ascii="Times New Roman" w:hAnsi="Times New Roman"/>
          <w:u w:color="0000FF"/>
          <w:lang w:val="et-EE"/>
        </w:rPr>
        <w:lastRenderedPageBreak/>
        <w:t>seadustes. Vastavad muudatused tehakse ära eelnõuga.</w:t>
      </w:r>
    </w:p>
    <w:p w14:paraId="23DBDA97" w14:textId="77777777" w:rsidR="001F33D6" w:rsidRDefault="001F33D6" w:rsidP="00D32BED">
      <w:pPr>
        <w:widowControl w:val="0"/>
        <w:tabs>
          <w:tab w:val="left" w:pos="1560"/>
        </w:tabs>
        <w:autoSpaceDE w:val="0"/>
        <w:autoSpaceDN w:val="0"/>
        <w:adjustRightInd w:val="0"/>
        <w:jc w:val="both"/>
        <w:rPr>
          <w:rFonts w:ascii="Times New Roman" w:hAnsi="Times New Roman"/>
          <w:u w:color="0000FF"/>
          <w:lang w:val="et-EE"/>
        </w:rPr>
      </w:pPr>
    </w:p>
    <w:p w14:paraId="526094ED" w14:textId="1DDBFDB5" w:rsidR="00E341DF" w:rsidRDefault="001F33D6" w:rsidP="00D32BED">
      <w:pPr>
        <w:widowControl w:val="0"/>
        <w:tabs>
          <w:tab w:val="left" w:pos="1560"/>
        </w:tabs>
        <w:autoSpaceDE w:val="0"/>
        <w:autoSpaceDN w:val="0"/>
        <w:adjustRightInd w:val="0"/>
        <w:jc w:val="both"/>
        <w:rPr>
          <w:rFonts w:ascii="Times New Roman" w:hAnsi="Times New Roman"/>
          <w:bCs/>
          <w:kern w:val="1"/>
          <w:lang w:val="et-EE"/>
        </w:rPr>
      </w:pPr>
      <w:r w:rsidRPr="001F33D6">
        <w:rPr>
          <w:rFonts w:ascii="Times New Roman" w:hAnsi="Times New Roman"/>
          <w:b/>
          <w:bCs/>
          <w:u w:color="0000FF"/>
          <w:lang w:val="et-EE"/>
        </w:rPr>
        <w:t>Sihtrühmaks</w:t>
      </w:r>
      <w:r>
        <w:rPr>
          <w:rFonts w:ascii="Times New Roman" w:hAnsi="Times New Roman"/>
          <w:u w:color="0000FF"/>
          <w:lang w:val="et-EE"/>
        </w:rPr>
        <w:t xml:space="preserve"> on üleeuroopalise personaalse pensionitoote (PEPP) pakkujad ja </w:t>
      </w:r>
      <w:r w:rsidR="00E341DF">
        <w:rPr>
          <w:rFonts w:ascii="Times New Roman" w:hAnsi="Times New Roman"/>
          <w:u w:color="0000FF"/>
          <w:lang w:val="et-EE"/>
        </w:rPr>
        <w:t>turustajad</w:t>
      </w:r>
      <w:r>
        <w:rPr>
          <w:rFonts w:ascii="Times New Roman" w:hAnsi="Times New Roman"/>
          <w:u w:color="0000FF"/>
          <w:lang w:val="et-EE"/>
        </w:rPr>
        <w:t xml:space="preserve">. </w:t>
      </w:r>
      <w:r w:rsidR="00E341DF">
        <w:rPr>
          <w:rFonts w:ascii="Times New Roman" w:hAnsi="Times New Roman"/>
          <w:u w:color="0000FF"/>
          <w:lang w:val="et-EE"/>
        </w:rPr>
        <w:t xml:space="preserve">Eestis ühtegi PEPPi registreeritud veel ei ole. Potentsiaalselt saaksid pakkujateks olla </w:t>
      </w:r>
      <w:r>
        <w:rPr>
          <w:rFonts w:ascii="Times New Roman" w:hAnsi="Times New Roman"/>
          <w:u w:color="0000FF"/>
          <w:lang w:val="et-EE"/>
        </w:rPr>
        <w:t xml:space="preserve">   </w:t>
      </w:r>
      <w:r w:rsidR="00E341DF" w:rsidRPr="00E341DF">
        <w:rPr>
          <w:rFonts w:ascii="Times New Roman" w:hAnsi="Times New Roman"/>
          <w:bCs/>
          <w:kern w:val="1"/>
          <w:lang w:val="et-EE"/>
        </w:rPr>
        <w:t>kindlustusandjad</w:t>
      </w:r>
      <w:r w:rsidR="00E341DF">
        <w:rPr>
          <w:rFonts w:ascii="Times New Roman" w:hAnsi="Times New Roman"/>
          <w:bCs/>
          <w:kern w:val="1"/>
          <w:lang w:val="et-EE"/>
        </w:rPr>
        <w:t xml:space="preserve"> (6)</w:t>
      </w:r>
      <w:r w:rsidR="00E341DF" w:rsidRPr="00E341DF">
        <w:rPr>
          <w:rFonts w:ascii="Times New Roman" w:hAnsi="Times New Roman"/>
          <w:bCs/>
          <w:kern w:val="1"/>
          <w:lang w:val="et-EE"/>
        </w:rPr>
        <w:t>, pensionifondi, eurofondi ja alternatiivfondi valitsejad</w:t>
      </w:r>
      <w:r w:rsidR="00E341DF">
        <w:rPr>
          <w:rFonts w:ascii="Times New Roman" w:hAnsi="Times New Roman"/>
          <w:bCs/>
          <w:kern w:val="1"/>
          <w:lang w:val="et-EE"/>
        </w:rPr>
        <w:t xml:space="preserve"> (11)</w:t>
      </w:r>
      <w:r w:rsidR="00E341DF" w:rsidRPr="00E341DF">
        <w:rPr>
          <w:rFonts w:ascii="Times New Roman" w:hAnsi="Times New Roman"/>
          <w:bCs/>
          <w:kern w:val="1"/>
          <w:lang w:val="et-EE"/>
        </w:rPr>
        <w:t>, krediidiasutused</w:t>
      </w:r>
      <w:r w:rsidR="00E341DF">
        <w:rPr>
          <w:rFonts w:ascii="Times New Roman" w:hAnsi="Times New Roman"/>
          <w:bCs/>
          <w:kern w:val="1"/>
          <w:lang w:val="et-EE"/>
        </w:rPr>
        <w:t xml:space="preserve"> (9)</w:t>
      </w:r>
      <w:r w:rsidR="00E341DF" w:rsidRPr="00E341DF">
        <w:rPr>
          <w:rFonts w:ascii="Times New Roman" w:hAnsi="Times New Roman"/>
          <w:bCs/>
          <w:kern w:val="1"/>
          <w:lang w:val="et-EE"/>
        </w:rPr>
        <w:t xml:space="preserve"> ja </w:t>
      </w:r>
      <w:r w:rsidR="00E341DF">
        <w:rPr>
          <w:rFonts w:ascii="Times New Roman" w:hAnsi="Times New Roman"/>
          <w:bCs/>
          <w:kern w:val="1"/>
          <w:lang w:val="et-EE"/>
        </w:rPr>
        <w:t xml:space="preserve">portfelli valitsemise tegevusloaga </w:t>
      </w:r>
      <w:r w:rsidR="00E341DF" w:rsidRPr="00E341DF">
        <w:rPr>
          <w:rFonts w:ascii="Times New Roman" w:hAnsi="Times New Roman"/>
          <w:bCs/>
          <w:kern w:val="1"/>
          <w:lang w:val="et-EE"/>
        </w:rPr>
        <w:t>investeerimisühingud</w:t>
      </w:r>
      <w:r w:rsidR="00E341DF">
        <w:rPr>
          <w:rFonts w:ascii="Times New Roman" w:hAnsi="Times New Roman"/>
          <w:bCs/>
          <w:kern w:val="1"/>
          <w:lang w:val="et-EE"/>
        </w:rPr>
        <w:t xml:space="preserve"> (4), kes saavad oma tooteid ka turustada,</w:t>
      </w:r>
      <w:r w:rsidR="00E341DF" w:rsidRPr="00E341DF">
        <w:rPr>
          <w:rFonts w:ascii="Times New Roman" w:hAnsi="Times New Roman"/>
          <w:bCs/>
          <w:kern w:val="1"/>
          <w:lang w:val="et-EE"/>
        </w:rPr>
        <w:t xml:space="preserve"> ning</w:t>
      </w:r>
      <w:r w:rsidR="00E341DF">
        <w:rPr>
          <w:rFonts w:ascii="Times New Roman" w:hAnsi="Times New Roman"/>
          <w:bCs/>
          <w:kern w:val="1"/>
          <w:lang w:val="et-EE"/>
        </w:rPr>
        <w:t xml:space="preserve"> eraldi</w:t>
      </w:r>
      <w:r w:rsidR="00E341DF" w:rsidRPr="00E341DF">
        <w:rPr>
          <w:rFonts w:ascii="Times New Roman" w:hAnsi="Times New Roman"/>
          <w:bCs/>
          <w:kern w:val="1"/>
          <w:lang w:val="et-EE"/>
        </w:rPr>
        <w:t xml:space="preserve"> turustajateks investeerimisühingud</w:t>
      </w:r>
      <w:r w:rsidR="00E341DF">
        <w:rPr>
          <w:rFonts w:ascii="Times New Roman" w:hAnsi="Times New Roman"/>
          <w:bCs/>
          <w:kern w:val="1"/>
          <w:lang w:val="et-EE"/>
        </w:rPr>
        <w:t>, kellel on investeerimisnõustamise tegevusluba (4)</w:t>
      </w:r>
      <w:r w:rsidR="00E341DF" w:rsidRPr="00E341DF">
        <w:rPr>
          <w:rFonts w:ascii="Times New Roman" w:hAnsi="Times New Roman"/>
          <w:bCs/>
          <w:kern w:val="1"/>
          <w:lang w:val="et-EE"/>
        </w:rPr>
        <w:t xml:space="preserve"> ja kindlustusvahendajad</w:t>
      </w:r>
      <w:r w:rsidR="00E341DF">
        <w:rPr>
          <w:rFonts w:ascii="Times New Roman" w:hAnsi="Times New Roman"/>
          <w:bCs/>
          <w:kern w:val="1"/>
          <w:lang w:val="et-EE"/>
        </w:rPr>
        <w:t>, kes vahendavad elukindlustuslepinguid (u 20)</w:t>
      </w:r>
      <w:r w:rsidR="00E341DF" w:rsidRPr="00E341DF">
        <w:rPr>
          <w:rFonts w:ascii="Times New Roman" w:hAnsi="Times New Roman"/>
          <w:bCs/>
          <w:kern w:val="1"/>
          <w:lang w:val="et-EE"/>
        </w:rPr>
        <w:t>.</w:t>
      </w:r>
    </w:p>
    <w:p w14:paraId="422D1F36" w14:textId="77777777" w:rsidR="00E341DF" w:rsidRPr="00E341DF" w:rsidRDefault="00E341DF" w:rsidP="00D32BED">
      <w:pPr>
        <w:widowControl w:val="0"/>
        <w:tabs>
          <w:tab w:val="left" w:pos="1560"/>
        </w:tabs>
        <w:autoSpaceDE w:val="0"/>
        <w:autoSpaceDN w:val="0"/>
        <w:adjustRightInd w:val="0"/>
        <w:jc w:val="both"/>
        <w:rPr>
          <w:rFonts w:ascii="Times New Roman" w:hAnsi="Times New Roman"/>
          <w:u w:color="0000FF"/>
          <w:lang w:val="et-EE"/>
        </w:rPr>
      </w:pPr>
    </w:p>
    <w:p w14:paraId="10FC221D" w14:textId="19B6185C" w:rsidR="00E341DF" w:rsidRDefault="00E341DF"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Potentsiaalne sihtgrupp on seega suur. Et teenust keegi ei paku, siis praktikas sihtgrupp praegu puudub. </w:t>
      </w:r>
    </w:p>
    <w:p w14:paraId="7BDF9F9E" w14:textId="77777777" w:rsidR="002D243E" w:rsidRDefault="002D243E" w:rsidP="00D32BED">
      <w:pPr>
        <w:widowControl w:val="0"/>
        <w:autoSpaceDE w:val="0"/>
        <w:autoSpaceDN w:val="0"/>
        <w:adjustRightInd w:val="0"/>
        <w:jc w:val="both"/>
        <w:rPr>
          <w:rFonts w:ascii="Times New Roman" w:hAnsi="Times New Roman"/>
          <w:bCs/>
          <w:kern w:val="1"/>
          <w:lang w:val="et-EE"/>
        </w:rPr>
      </w:pPr>
    </w:p>
    <w:p w14:paraId="2A9E85F1" w14:textId="221EDB8F" w:rsidR="002D243E" w:rsidRDefault="002D243E" w:rsidP="00D32BED">
      <w:pPr>
        <w:widowControl w:val="0"/>
        <w:autoSpaceDE w:val="0"/>
        <w:autoSpaceDN w:val="0"/>
        <w:adjustRightInd w:val="0"/>
        <w:jc w:val="both"/>
        <w:rPr>
          <w:rFonts w:ascii="Times New Roman" w:hAnsi="Times New Roman"/>
          <w:bCs/>
          <w:kern w:val="1"/>
          <w:lang w:val="et-EE"/>
        </w:rPr>
      </w:pPr>
      <w:r w:rsidRPr="002D243E">
        <w:rPr>
          <w:rFonts w:ascii="Times New Roman" w:hAnsi="Times New Roman"/>
          <w:b/>
          <w:kern w:val="1"/>
          <w:lang w:val="et-EE"/>
        </w:rPr>
        <w:t>Mõju suurus ja ulatus.</w:t>
      </w:r>
      <w:r>
        <w:rPr>
          <w:rFonts w:ascii="Times New Roman" w:hAnsi="Times New Roman"/>
          <w:bCs/>
          <w:kern w:val="1"/>
          <w:lang w:val="et-EE"/>
        </w:rPr>
        <w:t xml:space="preserve"> Praktikas mõju praegu puudub. Potentsiaalselt kaasneks eelnõu jõustumise järel määruses sätestatud PEPPi nõuete rikkumise korral teenusepakkujatele majanduslikud mõjud. Uued maksimaalsed väärteokaristuste määrad on füüsilise isiku puhul </w:t>
      </w:r>
      <w:r w:rsidRPr="002D243E">
        <w:rPr>
          <w:rFonts w:ascii="Times New Roman" w:hAnsi="Times New Roman"/>
          <w:bCs/>
          <w:kern w:val="1"/>
          <w:lang w:val="et-EE"/>
        </w:rPr>
        <w:t>5 000 000 eurot või kuni kahekord</w:t>
      </w:r>
      <w:r>
        <w:rPr>
          <w:rFonts w:ascii="Times New Roman" w:hAnsi="Times New Roman"/>
          <w:bCs/>
          <w:kern w:val="1"/>
          <w:lang w:val="et-EE"/>
        </w:rPr>
        <w:t>s</w:t>
      </w:r>
      <w:r w:rsidRPr="002D243E">
        <w:rPr>
          <w:rFonts w:ascii="Times New Roman" w:hAnsi="Times New Roman"/>
          <w:bCs/>
          <w:kern w:val="1"/>
          <w:lang w:val="et-EE"/>
        </w:rPr>
        <w:t>e</w:t>
      </w:r>
      <w:r>
        <w:rPr>
          <w:rFonts w:ascii="Times New Roman" w:hAnsi="Times New Roman"/>
          <w:bCs/>
          <w:kern w:val="1"/>
          <w:lang w:val="et-EE"/>
        </w:rPr>
        <w:t>le</w:t>
      </w:r>
      <w:r w:rsidRPr="002D243E">
        <w:rPr>
          <w:rFonts w:ascii="Times New Roman" w:hAnsi="Times New Roman"/>
          <w:bCs/>
          <w:kern w:val="1"/>
          <w:lang w:val="et-EE"/>
        </w:rPr>
        <w:t xml:space="preserve"> väärteo tulemusel teenitud kasule või ära hoitud kahjule vastav summa</w:t>
      </w:r>
      <w:r>
        <w:rPr>
          <w:rFonts w:ascii="Times New Roman" w:hAnsi="Times New Roman"/>
          <w:bCs/>
          <w:kern w:val="1"/>
          <w:lang w:val="et-EE"/>
        </w:rPr>
        <w:t xml:space="preserve"> ning juriidilise isiku puhul 5</w:t>
      </w:r>
      <w:r w:rsidRPr="002D243E">
        <w:rPr>
          <w:rFonts w:ascii="Times New Roman" w:hAnsi="Times New Roman"/>
          <w:bCs/>
          <w:kern w:val="1"/>
          <w:lang w:val="et-EE"/>
        </w:rPr>
        <w:t xml:space="preserve"> 000 000 eurot või kuni kahekordse</w:t>
      </w:r>
      <w:r>
        <w:rPr>
          <w:rFonts w:ascii="Times New Roman" w:hAnsi="Times New Roman"/>
          <w:bCs/>
          <w:kern w:val="1"/>
          <w:lang w:val="et-EE"/>
        </w:rPr>
        <w:t>le</w:t>
      </w:r>
      <w:r w:rsidRPr="002D243E">
        <w:rPr>
          <w:rFonts w:ascii="Times New Roman" w:hAnsi="Times New Roman"/>
          <w:bCs/>
          <w:kern w:val="1"/>
          <w:lang w:val="et-EE"/>
        </w:rPr>
        <w:t xml:space="preserve"> väärteo tulemusel teenitud kasule või ära hoitud kahjule vastav summa või kuni </w:t>
      </w:r>
      <w:r>
        <w:rPr>
          <w:rFonts w:ascii="Times New Roman" w:hAnsi="Times New Roman"/>
          <w:bCs/>
          <w:kern w:val="1"/>
          <w:lang w:val="et-EE"/>
        </w:rPr>
        <w:t>10%</w:t>
      </w:r>
      <w:r w:rsidRPr="002D243E">
        <w:rPr>
          <w:rFonts w:ascii="Times New Roman" w:hAnsi="Times New Roman"/>
          <w:bCs/>
          <w:kern w:val="1"/>
          <w:lang w:val="et-EE"/>
        </w:rPr>
        <w:t xml:space="preserve"> juriidilise isiku või tema konsolideerimisgrupi konsolideeritud käibest.</w:t>
      </w:r>
    </w:p>
    <w:p w14:paraId="3000DD09" w14:textId="5A31267E" w:rsidR="00E341DF" w:rsidRDefault="002D243E"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 xml:space="preserve"> </w:t>
      </w:r>
      <w:r w:rsidR="00E341DF">
        <w:rPr>
          <w:rFonts w:ascii="Times New Roman" w:hAnsi="Times New Roman"/>
          <w:bCs/>
          <w:kern w:val="1"/>
          <w:lang w:val="et-EE"/>
        </w:rPr>
        <w:t xml:space="preserve"> </w:t>
      </w:r>
      <w:r w:rsidR="00E341DF" w:rsidRPr="00F05AB3">
        <w:rPr>
          <w:rFonts w:ascii="Times New Roman" w:hAnsi="Times New Roman"/>
          <w:bCs/>
          <w:i/>
          <w:iCs/>
          <w:kern w:val="1"/>
          <w:lang w:val="et-EE"/>
        </w:rPr>
        <w:t xml:space="preserve"> </w:t>
      </w:r>
    </w:p>
    <w:p w14:paraId="2C2C64A8" w14:textId="67EB0BB7" w:rsidR="00E341DF" w:rsidRDefault="002D243E"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Muudatuste</w:t>
      </w:r>
      <w:r w:rsidR="00E341DF">
        <w:rPr>
          <w:rFonts w:ascii="Times New Roman" w:hAnsi="Times New Roman"/>
          <w:bCs/>
          <w:kern w:val="1"/>
          <w:lang w:val="et-EE"/>
        </w:rPr>
        <w:t xml:space="preserve"> </w:t>
      </w:r>
      <w:r w:rsidR="00E341DF" w:rsidRPr="002D243E">
        <w:rPr>
          <w:rFonts w:ascii="Times New Roman" w:hAnsi="Times New Roman"/>
          <w:b/>
          <w:kern w:val="1"/>
          <w:lang w:val="et-EE"/>
        </w:rPr>
        <w:t>ebasoovitavaks mõjuks</w:t>
      </w:r>
      <w:r w:rsidR="00E341DF">
        <w:rPr>
          <w:rFonts w:ascii="Times New Roman" w:hAnsi="Times New Roman"/>
          <w:bCs/>
          <w:kern w:val="1"/>
          <w:lang w:val="et-EE"/>
        </w:rPr>
        <w:t xml:space="preserve"> saab teoreetiliselt pidada seda, et mõni potentsiaalne pakkuja heitub </w:t>
      </w:r>
      <w:r>
        <w:rPr>
          <w:rFonts w:ascii="Times New Roman" w:hAnsi="Times New Roman"/>
          <w:bCs/>
          <w:kern w:val="1"/>
          <w:lang w:val="et-EE"/>
        </w:rPr>
        <w:t xml:space="preserve">uutest karistusmääradest </w:t>
      </w:r>
      <w:r w:rsidR="00E341DF">
        <w:rPr>
          <w:rFonts w:ascii="Times New Roman" w:hAnsi="Times New Roman"/>
          <w:bCs/>
          <w:kern w:val="1"/>
          <w:lang w:val="et-EE"/>
        </w:rPr>
        <w:t xml:space="preserve">ja otsustab PEPPi mitte pakkuma hakata. Teenusepakkujate usaldusväärsus ja kehtestatud nõuete täitmine on aga finantsteenuste puhul eelduseks, mistõttu </w:t>
      </w:r>
      <w:r>
        <w:rPr>
          <w:rFonts w:ascii="Times New Roman" w:hAnsi="Times New Roman"/>
          <w:bCs/>
          <w:kern w:val="1"/>
          <w:lang w:val="et-EE"/>
        </w:rPr>
        <w:t xml:space="preserve">kaalub muudatuste kasu üles võimaliku ebasoovitava mõju. </w:t>
      </w:r>
      <w:r w:rsidR="00CB09D4">
        <w:rPr>
          <w:rFonts w:ascii="Times New Roman" w:hAnsi="Times New Roman"/>
          <w:bCs/>
          <w:kern w:val="1"/>
          <w:lang w:val="et-EE"/>
        </w:rPr>
        <w:t>Olukord, kus finantsteenuste pakkumisel üldiselt kehtivad kõrgemad karistusmäärad kui PEPPi lepingute pakkumisel ei ole olemuslikult ka kuidagi põhjendatud.</w:t>
      </w:r>
      <w:r>
        <w:rPr>
          <w:rFonts w:ascii="Times New Roman" w:hAnsi="Times New Roman"/>
          <w:bCs/>
          <w:kern w:val="1"/>
          <w:lang w:val="et-EE"/>
        </w:rPr>
        <w:t xml:space="preserve"> </w:t>
      </w:r>
    </w:p>
    <w:p w14:paraId="3E1E5853" w14:textId="77777777" w:rsidR="00E341DF" w:rsidRDefault="00E341DF" w:rsidP="00D32BED">
      <w:pPr>
        <w:widowControl w:val="0"/>
        <w:autoSpaceDE w:val="0"/>
        <w:autoSpaceDN w:val="0"/>
        <w:adjustRightInd w:val="0"/>
        <w:jc w:val="both"/>
        <w:rPr>
          <w:rFonts w:ascii="Times New Roman" w:hAnsi="Times New Roman"/>
          <w:bCs/>
          <w:kern w:val="1"/>
          <w:lang w:val="et-EE"/>
        </w:rPr>
      </w:pPr>
    </w:p>
    <w:p w14:paraId="214B748F" w14:textId="55D8C06B" w:rsidR="00E422FC" w:rsidRDefault="002D243E" w:rsidP="00D32BED">
      <w:pPr>
        <w:widowControl w:val="0"/>
        <w:autoSpaceDE w:val="0"/>
        <w:autoSpaceDN w:val="0"/>
        <w:adjustRightInd w:val="0"/>
        <w:jc w:val="both"/>
        <w:rPr>
          <w:rFonts w:ascii="Times New Roman" w:hAnsi="Times New Roman"/>
          <w:b/>
          <w:kern w:val="1"/>
          <w:lang w:val="et-EE"/>
        </w:rPr>
      </w:pPr>
      <w:r w:rsidRPr="00D32BED">
        <w:rPr>
          <w:rFonts w:ascii="Times New Roman" w:hAnsi="Times New Roman"/>
          <w:b/>
          <w:kern w:val="1"/>
          <w:lang w:val="et-EE"/>
        </w:rPr>
        <w:t xml:space="preserve">6.3. </w:t>
      </w:r>
      <w:r w:rsidR="00D11746">
        <w:rPr>
          <w:rFonts w:ascii="Times New Roman" w:hAnsi="Times New Roman"/>
          <w:b/>
          <w:kern w:val="1"/>
          <w:lang w:val="et-EE"/>
        </w:rPr>
        <w:t>Pensioni investeerimiskonto sulgemine ja v</w:t>
      </w:r>
      <w:r w:rsidR="00E422FC">
        <w:rPr>
          <w:rFonts w:ascii="Times New Roman" w:hAnsi="Times New Roman"/>
          <w:b/>
          <w:kern w:val="1"/>
          <w:lang w:val="et-EE"/>
        </w:rPr>
        <w:t>õõrandamiskõlbmatud väärtpaberid</w:t>
      </w:r>
    </w:p>
    <w:p w14:paraId="3F6FFBBD" w14:textId="75000BF5" w:rsidR="00D11746" w:rsidRDefault="00BD112C" w:rsidP="00D11746">
      <w:pPr>
        <w:widowControl w:val="0"/>
        <w:tabs>
          <w:tab w:val="left" w:pos="1560"/>
        </w:tabs>
        <w:autoSpaceDE w:val="0"/>
        <w:autoSpaceDN w:val="0"/>
        <w:adjustRightInd w:val="0"/>
        <w:jc w:val="both"/>
        <w:rPr>
          <w:rFonts w:ascii="Times New Roman" w:hAnsi="Times New Roman"/>
          <w:lang w:val="et-EE"/>
        </w:rPr>
      </w:pPr>
      <w:r w:rsidRPr="00BD112C">
        <w:rPr>
          <w:rFonts w:ascii="Times New Roman" w:hAnsi="Times New Roman"/>
          <w:lang w:val="et-EE"/>
        </w:rPr>
        <w:t>P</w:t>
      </w:r>
      <w:r w:rsidR="00D11746">
        <w:rPr>
          <w:rFonts w:ascii="Times New Roman" w:hAnsi="Times New Roman"/>
          <w:lang w:val="et-EE"/>
        </w:rPr>
        <w:t>ensioni investeerimiskonto sulgemiseks peab olema kogu selle konto kaudu soetatud finantsvara võõrandatud</w:t>
      </w:r>
      <w:r>
        <w:rPr>
          <w:rFonts w:ascii="Times New Roman" w:hAnsi="Times New Roman"/>
          <w:lang w:val="et-EE"/>
        </w:rPr>
        <w:t xml:space="preserve"> (sealhulgas finantsvara soetamisel sõlmitud lepingud lõppenud)</w:t>
      </w:r>
      <w:r w:rsidR="00D11746">
        <w:rPr>
          <w:rFonts w:ascii="Times New Roman" w:hAnsi="Times New Roman"/>
          <w:lang w:val="et-EE"/>
        </w:rPr>
        <w:t xml:space="preserve"> ja raha pensioni investeerimiskontole laekunud, kust selle saaks vastavalt konkreetsele olukorrale, kas isikule välja maksta, kanda tema sõlmitud pensionilepingusse, valitud pensionifondi või teisele pensioni investeerimiskontole. Teatud juhtudel võib aga ette tulla olukordi, kus finantsvara võõrandamine ei ole </w:t>
      </w:r>
      <w:r>
        <w:rPr>
          <w:rFonts w:ascii="Times New Roman" w:hAnsi="Times New Roman"/>
          <w:lang w:val="et-EE"/>
        </w:rPr>
        <w:t xml:space="preserve">pensioni investeerimiskonto lepingu </w:t>
      </w:r>
      <w:r w:rsidR="00D11746">
        <w:rPr>
          <w:rFonts w:ascii="Times New Roman" w:hAnsi="Times New Roman"/>
          <w:lang w:val="et-EE"/>
        </w:rPr>
        <w:t>osapooltest mittesõltuvat</w:t>
      </w:r>
      <w:r>
        <w:rPr>
          <w:rFonts w:ascii="Times New Roman" w:hAnsi="Times New Roman"/>
          <w:lang w:val="et-EE"/>
        </w:rPr>
        <w:t>el põhjustel</w:t>
      </w:r>
      <w:r w:rsidR="00D11746">
        <w:rPr>
          <w:rFonts w:ascii="Times New Roman" w:hAnsi="Times New Roman"/>
          <w:lang w:val="et-EE"/>
        </w:rPr>
        <w:t xml:space="preserve"> võimalik.</w:t>
      </w:r>
    </w:p>
    <w:p w14:paraId="46194C4A" w14:textId="77777777" w:rsidR="00D11746" w:rsidRDefault="00D11746" w:rsidP="00D11746">
      <w:pPr>
        <w:widowControl w:val="0"/>
        <w:tabs>
          <w:tab w:val="left" w:pos="1560"/>
        </w:tabs>
        <w:autoSpaceDE w:val="0"/>
        <w:autoSpaceDN w:val="0"/>
        <w:adjustRightInd w:val="0"/>
        <w:jc w:val="both"/>
        <w:rPr>
          <w:rFonts w:ascii="Times New Roman" w:hAnsi="Times New Roman"/>
          <w:lang w:val="et-EE"/>
        </w:rPr>
      </w:pPr>
    </w:p>
    <w:p w14:paraId="51246BF0" w14:textId="470F7396" w:rsidR="00D11746" w:rsidRDefault="00D11746" w:rsidP="00D11746">
      <w:pPr>
        <w:widowControl w:val="0"/>
        <w:tabs>
          <w:tab w:val="left" w:pos="1560"/>
        </w:tabs>
        <w:autoSpaceDE w:val="0"/>
        <w:autoSpaceDN w:val="0"/>
        <w:adjustRightInd w:val="0"/>
        <w:jc w:val="both"/>
        <w:rPr>
          <w:rFonts w:ascii="Times New Roman" w:hAnsi="Times New Roman"/>
          <w:lang w:val="et-EE"/>
        </w:rPr>
      </w:pPr>
      <w:r>
        <w:rPr>
          <w:rFonts w:ascii="Times New Roman" w:hAnsi="Times New Roman"/>
          <w:lang w:val="et-EE"/>
        </w:rPr>
        <w:t>Kogu pensioni investeerimiskonto kaudu soetatud finantsvara võõrandamist eeldab ka raha väljavõtmine II sambast lahkumisel. Eelnõuga täpsustatakse KoPS § 52</w:t>
      </w:r>
      <w:r>
        <w:rPr>
          <w:rFonts w:ascii="Times New Roman" w:hAnsi="Times New Roman"/>
          <w:vertAlign w:val="superscript"/>
          <w:lang w:val="et-EE"/>
        </w:rPr>
        <w:t>6</w:t>
      </w:r>
      <w:r>
        <w:rPr>
          <w:rFonts w:ascii="Times New Roman" w:hAnsi="Times New Roman"/>
          <w:lang w:val="et-EE"/>
        </w:rPr>
        <w:t xml:space="preserve"> lõike 6 esimese lause sõnastust, et laiendada põhjuste loetelu, mis juhul vara võõrandamist enne sambast lahkumist ei eeldata tingimata. Need on juhud, kus </w:t>
      </w:r>
      <w:r w:rsidRPr="0097185A">
        <w:rPr>
          <w:rFonts w:ascii="Times New Roman" w:hAnsi="Times New Roman"/>
          <w:lang w:val="et-EE"/>
        </w:rPr>
        <w:t>võõrandamine ei ole</w:t>
      </w:r>
      <w:r>
        <w:rPr>
          <w:rFonts w:ascii="Times New Roman" w:hAnsi="Times New Roman"/>
          <w:lang w:val="et-EE"/>
        </w:rPr>
        <w:t xml:space="preserve"> võimalik</w:t>
      </w:r>
      <w:r w:rsidRPr="0097185A">
        <w:rPr>
          <w:rFonts w:ascii="Times New Roman" w:hAnsi="Times New Roman"/>
          <w:lang w:val="et-EE"/>
        </w:rPr>
        <w:t xml:space="preserve"> kauplemise peatamise või lõpetamise tõttu väärtpaberituru seaduse §-s 3 nimetatud kauplemiskoha poolt või finantsvara teise osapoole või tehingu tegemiseks vajaliku finants</w:t>
      </w:r>
      <w:r w:rsidR="00CE1825">
        <w:rPr>
          <w:rFonts w:ascii="Times New Roman" w:hAnsi="Times New Roman"/>
          <w:lang w:val="et-EE"/>
        </w:rPr>
        <w:t>vahendaja</w:t>
      </w:r>
      <w:r w:rsidRPr="0097185A">
        <w:rPr>
          <w:rFonts w:ascii="Times New Roman" w:hAnsi="Times New Roman"/>
          <w:lang w:val="et-EE"/>
        </w:rPr>
        <w:t xml:space="preserve"> suhtes pankrotimenetluse algatamise, krediidiasutuse suhtes väljakuulutatud moratooriumi või kriisilahendusmenetluse algatamise, kindlustusandjale kehtestatud erirežiimi või muu pädeva haldusorgani </w:t>
      </w:r>
      <w:r>
        <w:rPr>
          <w:rFonts w:ascii="Times New Roman" w:hAnsi="Times New Roman"/>
          <w:lang w:val="et-EE"/>
        </w:rPr>
        <w:t xml:space="preserve">tagajärgedelt sarnase </w:t>
      </w:r>
      <w:r w:rsidRPr="0097185A">
        <w:rPr>
          <w:rFonts w:ascii="Times New Roman" w:hAnsi="Times New Roman"/>
          <w:lang w:val="et-EE"/>
        </w:rPr>
        <w:t>otsuse või kohtuotsuse tõttu seaduse kohaselt võimalik</w:t>
      </w:r>
      <w:r>
        <w:rPr>
          <w:rFonts w:ascii="Times New Roman" w:hAnsi="Times New Roman"/>
          <w:lang w:val="et-EE"/>
        </w:rPr>
        <w:t xml:space="preserve">. </w:t>
      </w:r>
    </w:p>
    <w:p w14:paraId="7D4DBA5D" w14:textId="77777777" w:rsidR="00D11746" w:rsidRDefault="00D11746" w:rsidP="00D11746">
      <w:pPr>
        <w:widowControl w:val="0"/>
        <w:tabs>
          <w:tab w:val="left" w:pos="1560"/>
        </w:tabs>
        <w:autoSpaceDE w:val="0"/>
        <w:autoSpaceDN w:val="0"/>
        <w:adjustRightInd w:val="0"/>
        <w:jc w:val="both"/>
        <w:rPr>
          <w:rFonts w:ascii="Times New Roman" w:hAnsi="Times New Roman"/>
          <w:lang w:val="et-EE"/>
        </w:rPr>
      </w:pPr>
    </w:p>
    <w:p w14:paraId="5E74E050" w14:textId="55C21154" w:rsidR="00D11746" w:rsidRDefault="00BD112C" w:rsidP="00D11746">
      <w:pPr>
        <w:widowControl w:val="0"/>
        <w:tabs>
          <w:tab w:val="left" w:pos="1560"/>
        </w:tabs>
        <w:autoSpaceDE w:val="0"/>
        <w:autoSpaceDN w:val="0"/>
        <w:adjustRightInd w:val="0"/>
        <w:jc w:val="both"/>
        <w:rPr>
          <w:rFonts w:ascii="Times New Roman" w:hAnsi="Times New Roman"/>
          <w:lang w:val="et-EE"/>
        </w:rPr>
      </w:pPr>
      <w:r>
        <w:rPr>
          <w:rFonts w:ascii="Times New Roman" w:hAnsi="Times New Roman"/>
          <w:lang w:val="et-EE"/>
        </w:rPr>
        <w:t xml:space="preserve">Eelnõuga annab </w:t>
      </w:r>
      <w:r w:rsidR="00D11746">
        <w:rPr>
          <w:rFonts w:ascii="Times New Roman" w:hAnsi="Times New Roman"/>
          <w:lang w:val="et-EE"/>
        </w:rPr>
        <w:t xml:space="preserve">võimalus nende nö võõrandamiskõlbmatute väärtpaberite ümberregistreerimiseks tavalisele väärtpaberikontole. Seda oleks lubatud teha, kui </w:t>
      </w:r>
      <w:r w:rsidR="00D11746" w:rsidRPr="008B1D1A">
        <w:rPr>
          <w:rFonts w:ascii="Times New Roman" w:hAnsi="Times New Roman"/>
          <w:lang w:val="et-EE"/>
        </w:rPr>
        <w:t xml:space="preserve">väärtpaberiga kauplemine on kauplemiskoha poolt lõpetatud või </w:t>
      </w:r>
      <w:r w:rsidR="00D11746">
        <w:rPr>
          <w:rFonts w:ascii="Times New Roman" w:hAnsi="Times New Roman"/>
          <w:lang w:val="et-EE"/>
        </w:rPr>
        <w:t xml:space="preserve">kui KoPS </w:t>
      </w:r>
      <w:r w:rsidR="00D11746" w:rsidRPr="008B1D1A">
        <w:rPr>
          <w:rFonts w:ascii="Times New Roman" w:hAnsi="Times New Roman"/>
          <w:lang w:val="et-EE"/>
        </w:rPr>
        <w:t>§ 52</w:t>
      </w:r>
      <w:r w:rsidR="00D11746" w:rsidRPr="00633C6A">
        <w:rPr>
          <w:rFonts w:ascii="Times New Roman" w:hAnsi="Times New Roman"/>
          <w:vertAlign w:val="superscript"/>
          <w:lang w:val="et-EE"/>
        </w:rPr>
        <w:t>6</w:t>
      </w:r>
      <w:r w:rsidR="00D11746" w:rsidRPr="008B1D1A">
        <w:rPr>
          <w:rFonts w:ascii="Times New Roman" w:hAnsi="Times New Roman"/>
          <w:lang w:val="et-EE"/>
        </w:rPr>
        <w:t xml:space="preserve"> lõikes 6 sätestatud menetluse või režiimi lõppemise järel ei ole pensioni investeerimiskonto kaudu soetatud väärtpaberite võõrandamine endiselt võimalik</w:t>
      </w:r>
      <w:r w:rsidR="00D11746">
        <w:rPr>
          <w:rFonts w:ascii="Times New Roman" w:hAnsi="Times New Roman"/>
          <w:lang w:val="et-EE"/>
        </w:rPr>
        <w:t xml:space="preserve">. Kui isikul on samas krediidiasutuses </w:t>
      </w:r>
      <w:r w:rsidR="00D11746">
        <w:rPr>
          <w:rFonts w:ascii="Times New Roman" w:hAnsi="Times New Roman"/>
          <w:lang w:val="et-EE"/>
        </w:rPr>
        <w:lastRenderedPageBreak/>
        <w:t xml:space="preserve">avatud teine, nö tavaline väärtpaberikonto, saab krediidiasutus korraldada nende väärtpaberite ümberregistreerimise sellele kontole. </w:t>
      </w:r>
    </w:p>
    <w:p w14:paraId="3F0AC0EF" w14:textId="5F150F54" w:rsidR="00E422FC" w:rsidRDefault="00E422FC" w:rsidP="00D32BED">
      <w:pPr>
        <w:widowControl w:val="0"/>
        <w:autoSpaceDE w:val="0"/>
        <w:autoSpaceDN w:val="0"/>
        <w:adjustRightInd w:val="0"/>
        <w:jc w:val="both"/>
        <w:rPr>
          <w:rFonts w:ascii="Times New Roman" w:hAnsi="Times New Roman"/>
          <w:bCs/>
          <w:kern w:val="1"/>
          <w:lang w:val="et-EE"/>
        </w:rPr>
      </w:pPr>
    </w:p>
    <w:p w14:paraId="6C096B33" w14:textId="0AACCE59" w:rsidR="00E422FC" w:rsidRDefault="00E422FC" w:rsidP="00BD112C">
      <w:pPr>
        <w:widowControl w:val="0"/>
        <w:autoSpaceDE w:val="0"/>
        <w:autoSpaceDN w:val="0"/>
        <w:adjustRightInd w:val="0"/>
        <w:jc w:val="both"/>
        <w:rPr>
          <w:rFonts w:ascii="Times New Roman" w:hAnsi="Times New Roman"/>
          <w:bCs/>
          <w:kern w:val="1"/>
          <w:lang w:val="et-EE"/>
        </w:rPr>
      </w:pPr>
      <w:r w:rsidRPr="00BD112C">
        <w:rPr>
          <w:rFonts w:ascii="Times New Roman" w:hAnsi="Times New Roman"/>
          <w:b/>
          <w:kern w:val="1"/>
          <w:lang w:val="et-EE"/>
        </w:rPr>
        <w:t>Sihtrühm 1</w:t>
      </w:r>
      <w:r>
        <w:rPr>
          <w:rFonts w:ascii="Times New Roman" w:hAnsi="Times New Roman"/>
          <w:bCs/>
          <w:kern w:val="1"/>
          <w:lang w:val="et-EE"/>
        </w:rPr>
        <w:t xml:space="preserve"> </w:t>
      </w:r>
      <w:r w:rsidR="00D11746">
        <w:rPr>
          <w:rFonts w:ascii="Times New Roman" w:hAnsi="Times New Roman"/>
          <w:bCs/>
          <w:kern w:val="1"/>
          <w:lang w:val="et-EE"/>
        </w:rPr>
        <w:t xml:space="preserve">on pensioni investeerimiskontot pakkuvad krediidiasutused, keda on </w:t>
      </w:r>
      <w:r w:rsidR="00BD112C">
        <w:rPr>
          <w:rFonts w:ascii="Times New Roman" w:hAnsi="Times New Roman"/>
          <w:bCs/>
          <w:kern w:val="1"/>
          <w:lang w:val="et-EE"/>
        </w:rPr>
        <w:t xml:space="preserve">neli </w:t>
      </w:r>
      <w:r w:rsidR="00BD112C" w:rsidRPr="00BD112C">
        <w:rPr>
          <w:rFonts w:ascii="Times New Roman" w:hAnsi="Times New Roman"/>
          <w:bCs/>
          <w:kern w:val="1"/>
          <w:lang w:val="et-EE"/>
        </w:rPr>
        <w:t>LHV Pank</w:t>
      </w:r>
      <w:r w:rsidR="00BD112C">
        <w:rPr>
          <w:rFonts w:ascii="Times New Roman" w:hAnsi="Times New Roman"/>
          <w:bCs/>
          <w:kern w:val="1"/>
          <w:lang w:val="et-EE"/>
        </w:rPr>
        <w:t xml:space="preserve">, </w:t>
      </w:r>
      <w:r w:rsidR="00BD112C" w:rsidRPr="00BD112C">
        <w:rPr>
          <w:rFonts w:ascii="Times New Roman" w:hAnsi="Times New Roman"/>
          <w:bCs/>
          <w:kern w:val="1"/>
          <w:lang w:val="et-EE"/>
        </w:rPr>
        <w:t>Luminor Bank</w:t>
      </w:r>
      <w:r w:rsidR="00BD112C">
        <w:rPr>
          <w:rFonts w:ascii="Times New Roman" w:hAnsi="Times New Roman"/>
          <w:bCs/>
          <w:kern w:val="1"/>
          <w:lang w:val="et-EE"/>
        </w:rPr>
        <w:t xml:space="preserve">, </w:t>
      </w:r>
      <w:r w:rsidR="00BD112C" w:rsidRPr="00BD112C">
        <w:rPr>
          <w:rFonts w:ascii="Times New Roman" w:hAnsi="Times New Roman"/>
          <w:bCs/>
          <w:kern w:val="1"/>
          <w:lang w:val="et-EE"/>
        </w:rPr>
        <w:t>SEB Pank</w:t>
      </w:r>
      <w:r w:rsidR="00BD112C">
        <w:rPr>
          <w:rFonts w:ascii="Times New Roman" w:hAnsi="Times New Roman"/>
          <w:bCs/>
          <w:kern w:val="1"/>
          <w:lang w:val="et-EE"/>
        </w:rPr>
        <w:t xml:space="preserve"> ja </w:t>
      </w:r>
      <w:r w:rsidR="00BD112C" w:rsidRPr="00BD112C">
        <w:rPr>
          <w:rFonts w:ascii="Times New Roman" w:hAnsi="Times New Roman"/>
          <w:bCs/>
          <w:kern w:val="1"/>
          <w:lang w:val="et-EE"/>
        </w:rPr>
        <w:t>Swedbank</w:t>
      </w:r>
      <w:r w:rsidR="00BD112C">
        <w:rPr>
          <w:rFonts w:ascii="Times New Roman" w:hAnsi="Times New Roman"/>
          <w:bCs/>
          <w:kern w:val="1"/>
          <w:lang w:val="et-EE"/>
        </w:rPr>
        <w:t>.</w:t>
      </w:r>
    </w:p>
    <w:p w14:paraId="7F826626" w14:textId="77777777" w:rsidR="00BD112C" w:rsidRDefault="00BD112C" w:rsidP="00BD112C">
      <w:pPr>
        <w:widowControl w:val="0"/>
        <w:autoSpaceDE w:val="0"/>
        <w:autoSpaceDN w:val="0"/>
        <w:adjustRightInd w:val="0"/>
        <w:jc w:val="both"/>
        <w:rPr>
          <w:rFonts w:ascii="Times New Roman" w:hAnsi="Times New Roman"/>
          <w:bCs/>
          <w:kern w:val="1"/>
          <w:lang w:val="et-EE"/>
        </w:rPr>
      </w:pPr>
    </w:p>
    <w:p w14:paraId="62C20CDB" w14:textId="0E13C78B" w:rsidR="00D11746" w:rsidRDefault="00D11746" w:rsidP="00D32BED">
      <w:pPr>
        <w:widowControl w:val="0"/>
        <w:autoSpaceDE w:val="0"/>
        <w:autoSpaceDN w:val="0"/>
        <w:adjustRightInd w:val="0"/>
        <w:jc w:val="both"/>
        <w:rPr>
          <w:rFonts w:ascii="Times New Roman" w:hAnsi="Times New Roman"/>
          <w:bCs/>
          <w:kern w:val="1"/>
          <w:lang w:val="et-EE"/>
        </w:rPr>
      </w:pPr>
      <w:r w:rsidRPr="00BD112C">
        <w:rPr>
          <w:rFonts w:ascii="Times New Roman" w:hAnsi="Times New Roman"/>
          <w:b/>
          <w:kern w:val="1"/>
          <w:lang w:val="et-EE"/>
        </w:rPr>
        <w:t>Sihtrühmaks 2</w:t>
      </w:r>
      <w:r w:rsidRPr="00D11746">
        <w:rPr>
          <w:rFonts w:ascii="Times New Roman" w:hAnsi="Times New Roman"/>
          <w:bCs/>
          <w:kern w:val="1"/>
          <w:lang w:val="et-EE"/>
        </w:rPr>
        <w:t xml:space="preserve"> on </w:t>
      </w:r>
      <w:r>
        <w:rPr>
          <w:rFonts w:ascii="Times New Roman" w:hAnsi="Times New Roman"/>
          <w:bCs/>
          <w:kern w:val="1"/>
          <w:lang w:val="et-EE"/>
        </w:rPr>
        <w:t xml:space="preserve">pensioni investeerimiskonto kasutajad, keda 2024. aasta </w:t>
      </w:r>
      <w:r w:rsidR="00BD112C">
        <w:rPr>
          <w:rFonts w:ascii="Times New Roman" w:hAnsi="Times New Roman"/>
          <w:bCs/>
          <w:kern w:val="1"/>
          <w:lang w:val="et-EE"/>
        </w:rPr>
        <w:t xml:space="preserve">3. </w:t>
      </w:r>
      <w:r>
        <w:rPr>
          <w:rFonts w:ascii="Times New Roman" w:hAnsi="Times New Roman"/>
          <w:bCs/>
          <w:kern w:val="1"/>
          <w:lang w:val="et-EE"/>
        </w:rPr>
        <w:t xml:space="preserve">mai seisuga </w:t>
      </w:r>
      <w:r w:rsidR="00BD112C">
        <w:rPr>
          <w:rFonts w:ascii="Times New Roman" w:hAnsi="Times New Roman"/>
          <w:bCs/>
          <w:kern w:val="1"/>
          <w:lang w:val="et-EE"/>
        </w:rPr>
        <w:t xml:space="preserve">8 075. </w:t>
      </w:r>
      <w:r w:rsidR="00011FBA">
        <w:rPr>
          <w:rFonts w:ascii="Times New Roman" w:hAnsi="Times New Roman"/>
          <w:bCs/>
          <w:kern w:val="1"/>
          <w:lang w:val="et-EE"/>
        </w:rPr>
        <w:t>Tegelik sihtrühm on praktikas seega väga väike. Potentsiaalsete pensioni investeerimiskonto kasutajatena saab sihtrühma alla paigutada teoreetiliselt ka teised II sambaga liitunud isikud (pensionikogujad ka pensionärid, kellel on veel raha pensionifondides). Neid inimesi on 3. mai seisuga kokku u 486 000.</w:t>
      </w:r>
    </w:p>
    <w:p w14:paraId="0A89080A" w14:textId="77777777" w:rsidR="00D11746" w:rsidRDefault="00D11746" w:rsidP="00D32BED">
      <w:pPr>
        <w:widowControl w:val="0"/>
        <w:autoSpaceDE w:val="0"/>
        <w:autoSpaceDN w:val="0"/>
        <w:adjustRightInd w:val="0"/>
        <w:jc w:val="both"/>
        <w:rPr>
          <w:rFonts w:ascii="Times New Roman" w:hAnsi="Times New Roman"/>
          <w:bCs/>
          <w:kern w:val="1"/>
          <w:lang w:val="et-EE"/>
        </w:rPr>
      </w:pPr>
    </w:p>
    <w:p w14:paraId="36384369" w14:textId="003B02B7" w:rsidR="00E422FC" w:rsidRDefault="00E422FC" w:rsidP="00D32BED">
      <w:pPr>
        <w:widowControl w:val="0"/>
        <w:autoSpaceDE w:val="0"/>
        <w:autoSpaceDN w:val="0"/>
        <w:adjustRightInd w:val="0"/>
        <w:jc w:val="both"/>
        <w:rPr>
          <w:rFonts w:ascii="Times New Roman" w:hAnsi="Times New Roman"/>
          <w:bCs/>
          <w:kern w:val="1"/>
          <w:lang w:val="et-EE"/>
        </w:rPr>
      </w:pPr>
      <w:r w:rsidRPr="00CC2ED6">
        <w:rPr>
          <w:rFonts w:ascii="Times New Roman" w:hAnsi="Times New Roman"/>
          <w:b/>
          <w:kern w:val="1"/>
          <w:lang w:val="et-EE"/>
        </w:rPr>
        <w:t>Mõju ulatus ja suurus.</w:t>
      </w:r>
      <w:r>
        <w:rPr>
          <w:rFonts w:ascii="Times New Roman" w:hAnsi="Times New Roman"/>
          <w:bCs/>
          <w:kern w:val="1"/>
          <w:lang w:val="et-EE"/>
        </w:rPr>
        <w:t xml:space="preserve"> </w:t>
      </w:r>
      <w:r w:rsidR="00CC2ED6">
        <w:rPr>
          <w:rFonts w:ascii="Times New Roman" w:hAnsi="Times New Roman"/>
          <w:bCs/>
          <w:kern w:val="1"/>
          <w:lang w:val="et-EE"/>
        </w:rPr>
        <w:t>Muudatuste mõju avaldub sambast lahkujaile selles, et nimekiri juhtudest, mil kogu pensioni investeerimiskonto soetatud finantsvara võõrandamist ei nõuta enne sambast lahkumist, täieneb. Seega, kui soetatud finantsvara</w:t>
      </w:r>
      <w:r w:rsidR="0059142C">
        <w:rPr>
          <w:rFonts w:ascii="Times New Roman" w:hAnsi="Times New Roman"/>
          <w:bCs/>
          <w:kern w:val="1"/>
          <w:lang w:val="et-EE"/>
        </w:rPr>
        <w:t xml:space="preserve"> võõrandamisega</w:t>
      </w:r>
      <w:r w:rsidR="00CC2ED6">
        <w:rPr>
          <w:rFonts w:ascii="Times New Roman" w:hAnsi="Times New Roman"/>
          <w:bCs/>
          <w:kern w:val="1"/>
          <w:lang w:val="et-EE"/>
        </w:rPr>
        <w:t xml:space="preserve"> peaks tekkima </w:t>
      </w:r>
      <w:r w:rsidR="0059142C">
        <w:rPr>
          <w:rFonts w:ascii="Times New Roman" w:hAnsi="Times New Roman"/>
          <w:bCs/>
          <w:kern w:val="1"/>
          <w:lang w:val="et-EE"/>
        </w:rPr>
        <w:t xml:space="preserve">seaduses viidatud </w:t>
      </w:r>
      <w:r w:rsidR="00CC2ED6">
        <w:rPr>
          <w:rFonts w:ascii="Times New Roman" w:hAnsi="Times New Roman"/>
          <w:bCs/>
          <w:kern w:val="1"/>
          <w:lang w:val="et-EE"/>
        </w:rPr>
        <w:t xml:space="preserve">probleeme, ei takista see sambast lahkumist. Kui hiljem finantsvara võõrandamist takistavad asjaolud ära langevad, vara võõrandatakse ning sambast lahkunu saab uue väljamakse. Seega muutuvad tingimused </w:t>
      </w:r>
      <w:r w:rsidR="0059142C">
        <w:rPr>
          <w:rFonts w:ascii="Times New Roman" w:hAnsi="Times New Roman"/>
          <w:bCs/>
          <w:kern w:val="1"/>
          <w:lang w:val="et-EE"/>
        </w:rPr>
        <w:t>II sambaga liitunu</w:t>
      </w:r>
      <w:r w:rsidR="00CC2ED6">
        <w:rPr>
          <w:rFonts w:ascii="Times New Roman" w:hAnsi="Times New Roman"/>
          <w:bCs/>
          <w:kern w:val="1"/>
          <w:lang w:val="et-EE"/>
        </w:rPr>
        <w:t xml:space="preserve"> jaoks paindlikumaks. </w:t>
      </w:r>
    </w:p>
    <w:p w14:paraId="1BACB246" w14:textId="77777777" w:rsidR="00CC2ED6" w:rsidRDefault="00CC2ED6" w:rsidP="00D32BED">
      <w:pPr>
        <w:widowControl w:val="0"/>
        <w:autoSpaceDE w:val="0"/>
        <w:autoSpaceDN w:val="0"/>
        <w:adjustRightInd w:val="0"/>
        <w:jc w:val="both"/>
        <w:rPr>
          <w:rFonts w:ascii="Times New Roman" w:hAnsi="Times New Roman"/>
          <w:bCs/>
          <w:kern w:val="1"/>
          <w:lang w:val="et-EE"/>
        </w:rPr>
      </w:pPr>
    </w:p>
    <w:p w14:paraId="46E622B0" w14:textId="70C7457F" w:rsidR="00CC2ED6" w:rsidRDefault="00CC2ED6"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 xml:space="preserve">Kui finantsvara jääb nö võõrandamiskõlbmatuks, </w:t>
      </w:r>
      <w:r w:rsidR="00E10AC6">
        <w:rPr>
          <w:rFonts w:ascii="Times New Roman" w:hAnsi="Times New Roman"/>
          <w:bCs/>
          <w:kern w:val="1"/>
          <w:lang w:val="et-EE"/>
        </w:rPr>
        <w:t xml:space="preserve">tekib nii sambast lahkunud isikul kui II sambas pensioni koguval või pensioni saaval isikul võimalus oma pensioni investeerimiskonto sulgeda. Kehtiva seaduse järgi jääb konto avatuks, kuni kogu finantsvara võõrandatakse. Pensioni investeerimiskonto kasutaja jaoks on jällegi tegemist positiivse muudatusega. </w:t>
      </w:r>
    </w:p>
    <w:p w14:paraId="147E6A84" w14:textId="77777777" w:rsidR="00E10AC6" w:rsidRDefault="00E10AC6" w:rsidP="00D32BED">
      <w:pPr>
        <w:widowControl w:val="0"/>
        <w:autoSpaceDE w:val="0"/>
        <w:autoSpaceDN w:val="0"/>
        <w:adjustRightInd w:val="0"/>
        <w:jc w:val="both"/>
        <w:rPr>
          <w:rFonts w:ascii="Times New Roman" w:hAnsi="Times New Roman"/>
          <w:bCs/>
          <w:kern w:val="1"/>
          <w:lang w:val="et-EE"/>
        </w:rPr>
      </w:pPr>
    </w:p>
    <w:p w14:paraId="2D3BD734" w14:textId="557DA41B" w:rsidR="00E10AC6" w:rsidRDefault="00E10AC6"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 xml:space="preserve">Mõju pensionivarale saab pidada olematuks, sest võõrandamiskõlbmatud väärtpaberid on väärtuselt hinnatud nulli. Seega nende ümberregistreerimine nö tavalisele väärtpaberikontole otseselt ei mõjuta pensionivara suurust. Seda, et kunagi tulevikus õnnestub investoril võõrandamiskõlbmatu väärtpaberi eest midagi tagasi saada, lõpuni välistada ei saa, kuid seda võib lugeda ebatõenäoliseks. </w:t>
      </w:r>
    </w:p>
    <w:p w14:paraId="7CBDF7FF" w14:textId="77777777" w:rsidR="00BD112C" w:rsidRDefault="00BD112C" w:rsidP="00D32BED">
      <w:pPr>
        <w:widowControl w:val="0"/>
        <w:autoSpaceDE w:val="0"/>
        <w:autoSpaceDN w:val="0"/>
        <w:adjustRightInd w:val="0"/>
        <w:jc w:val="both"/>
        <w:rPr>
          <w:rFonts w:ascii="Times New Roman" w:hAnsi="Times New Roman"/>
          <w:bCs/>
          <w:kern w:val="1"/>
          <w:lang w:val="et-EE"/>
        </w:rPr>
      </w:pPr>
    </w:p>
    <w:p w14:paraId="0626F567" w14:textId="7A9575DB" w:rsidR="00BD112C" w:rsidRDefault="00E10AC6"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 xml:space="preserve">Pensioni investeerimiskontot pakkuva krediidiasutuse jaoks on muudatus samuti positiivne. Reeglina pensioni investeerimiskonto ja sellega seotud väärtpaberikonto puhul haldustasu ei võeta või ei võeta seda väiksema portfelli puhul (LHV-l, kellel on pensioni investeerimiskonto kasutajaid kõige rohkem, rakendub näiteks välisväärtpaberite haldustasuna 0,01% suurune kuutasu portfelli 50 000 eurot ületavale osale). Krediidiasutusele on pensioni investeerimiskonto ja sellega seotud väärtpaberikonto hoidmine aga kulu. Kui tehinguid ei tehta ja kontot tegelikult ei kasutata, on sellise konto avatuna hoidmine </w:t>
      </w:r>
      <w:r w:rsidR="00017C62">
        <w:rPr>
          <w:rFonts w:ascii="Times New Roman" w:hAnsi="Times New Roman"/>
          <w:bCs/>
          <w:kern w:val="1"/>
          <w:lang w:val="et-EE"/>
        </w:rPr>
        <w:t>krediidiasutuse jaoks (aga ka kliendi enda jaoks) ebamõistlik.</w:t>
      </w:r>
    </w:p>
    <w:p w14:paraId="2099864C" w14:textId="77777777" w:rsidR="00E10AC6" w:rsidRDefault="00E10AC6" w:rsidP="00D32BED">
      <w:pPr>
        <w:widowControl w:val="0"/>
        <w:autoSpaceDE w:val="0"/>
        <w:autoSpaceDN w:val="0"/>
        <w:adjustRightInd w:val="0"/>
        <w:jc w:val="both"/>
        <w:rPr>
          <w:rFonts w:ascii="Times New Roman" w:hAnsi="Times New Roman"/>
          <w:bCs/>
          <w:kern w:val="1"/>
          <w:lang w:val="et-EE"/>
        </w:rPr>
      </w:pPr>
    </w:p>
    <w:p w14:paraId="74550E6A" w14:textId="5DEB611D" w:rsidR="00E422FC" w:rsidRDefault="00E422FC" w:rsidP="00D32BED">
      <w:pPr>
        <w:widowControl w:val="0"/>
        <w:autoSpaceDE w:val="0"/>
        <w:autoSpaceDN w:val="0"/>
        <w:adjustRightInd w:val="0"/>
        <w:jc w:val="both"/>
        <w:rPr>
          <w:rFonts w:ascii="Times New Roman" w:hAnsi="Times New Roman"/>
          <w:bCs/>
          <w:kern w:val="1"/>
          <w:lang w:val="et-EE"/>
        </w:rPr>
      </w:pPr>
      <w:r w:rsidRPr="00E1327A">
        <w:rPr>
          <w:rFonts w:ascii="Times New Roman" w:hAnsi="Times New Roman"/>
          <w:b/>
          <w:kern w:val="1"/>
          <w:lang w:val="et-EE"/>
        </w:rPr>
        <w:t>Mõju sagedus</w:t>
      </w:r>
      <w:r w:rsidR="00017C62">
        <w:rPr>
          <w:rFonts w:ascii="Times New Roman" w:hAnsi="Times New Roman"/>
          <w:bCs/>
          <w:kern w:val="1"/>
          <w:lang w:val="et-EE"/>
        </w:rPr>
        <w:t xml:space="preserve"> on väga harv. </w:t>
      </w:r>
      <w:r w:rsidR="00E1327A">
        <w:rPr>
          <w:rFonts w:ascii="Times New Roman" w:hAnsi="Times New Roman"/>
          <w:bCs/>
          <w:kern w:val="1"/>
          <w:lang w:val="et-EE"/>
        </w:rPr>
        <w:t xml:space="preserve">Pensioni investeerimiskonto kasutajaid on vähe ning seda, et ilmnevad eelnõus nimetatud asjaolud, mis takistavad finantsvara võõrandamist, tuleb omakorda ette pigem harva. Ei ole teada, et praegu oleks pensioni investeerimiskontode kaudu soetatud finantsvara puhul selle võõrandamine võimatu põhjusel, et kauplemiskoht on sellega </w:t>
      </w:r>
      <w:r w:rsidR="00E1327A" w:rsidRPr="00E1327A">
        <w:rPr>
          <w:rFonts w:ascii="Times New Roman" w:hAnsi="Times New Roman"/>
          <w:bCs/>
          <w:kern w:val="1"/>
          <w:lang w:val="et-EE"/>
        </w:rPr>
        <w:t>kauplemise peata</w:t>
      </w:r>
      <w:r w:rsidR="00E1327A">
        <w:rPr>
          <w:rFonts w:ascii="Times New Roman" w:hAnsi="Times New Roman"/>
          <w:bCs/>
          <w:kern w:val="1"/>
          <w:lang w:val="et-EE"/>
        </w:rPr>
        <w:t xml:space="preserve">nud </w:t>
      </w:r>
      <w:r w:rsidR="00E1327A" w:rsidRPr="00E1327A">
        <w:rPr>
          <w:rFonts w:ascii="Times New Roman" w:hAnsi="Times New Roman"/>
          <w:bCs/>
          <w:kern w:val="1"/>
          <w:lang w:val="et-EE"/>
        </w:rPr>
        <w:t>või lõpeta</w:t>
      </w:r>
      <w:r w:rsidR="00E1327A">
        <w:rPr>
          <w:rFonts w:ascii="Times New Roman" w:hAnsi="Times New Roman"/>
          <w:bCs/>
          <w:kern w:val="1"/>
          <w:lang w:val="et-EE"/>
        </w:rPr>
        <w:t>nud</w:t>
      </w:r>
      <w:r w:rsidR="00E1327A" w:rsidRPr="00E1327A">
        <w:rPr>
          <w:rFonts w:ascii="Times New Roman" w:hAnsi="Times New Roman"/>
          <w:bCs/>
          <w:kern w:val="1"/>
          <w:lang w:val="et-EE"/>
        </w:rPr>
        <w:t xml:space="preserve"> või</w:t>
      </w:r>
      <w:r w:rsidR="00E1327A">
        <w:rPr>
          <w:rFonts w:ascii="Times New Roman" w:hAnsi="Times New Roman"/>
          <w:bCs/>
          <w:kern w:val="1"/>
          <w:lang w:val="et-EE"/>
        </w:rPr>
        <w:t xml:space="preserve"> oleks</w:t>
      </w:r>
      <w:r w:rsidR="00E1327A" w:rsidRPr="00E1327A">
        <w:rPr>
          <w:rFonts w:ascii="Times New Roman" w:hAnsi="Times New Roman"/>
          <w:bCs/>
          <w:kern w:val="1"/>
          <w:lang w:val="et-EE"/>
        </w:rPr>
        <w:t xml:space="preserve"> finantsvara teise osapoole või tehingu tegemiseks vajaliku finants</w:t>
      </w:r>
      <w:r w:rsidR="00E1327A">
        <w:rPr>
          <w:rFonts w:ascii="Times New Roman" w:hAnsi="Times New Roman"/>
          <w:bCs/>
          <w:kern w:val="1"/>
          <w:lang w:val="et-EE"/>
        </w:rPr>
        <w:t>vahendaja</w:t>
      </w:r>
      <w:r w:rsidR="00E1327A" w:rsidRPr="00E1327A">
        <w:rPr>
          <w:rFonts w:ascii="Times New Roman" w:hAnsi="Times New Roman"/>
          <w:bCs/>
          <w:kern w:val="1"/>
          <w:lang w:val="et-EE"/>
        </w:rPr>
        <w:t xml:space="preserve"> suhtes pankrotimenetlus algata</w:t>
      </w:r>
      <w:r w:rsidR="00E1327A">
        <w:rPr>
          <w:rFonts w:ascii="Times New Roman" w:hAnsi="Times New Roman"/>
          <w:bCs/>
          <w:kern w:val="1"/>
          <w:lang w:val="et-EE"/>
        </w:rPr>
        <w:t>tud</w:t>
      </w:r>
      <w:r w:rsidR="00E1327A" w:rsidRPr="00E1327A">
        <w:rPr>
          <w:rFonts w:ascii="Times New Roman" w:hAnsi="Times New Roman"/>
          <w:bCs/>
          <w:kern w:val="1"/>
          <w:lang w:val="et-EE"/>
        </w:rPr>
        <w:t xml:space="preserve">, krediidiasutuse suhtes </w:t>
      </w:r>
      <w:r w:rsidR="00E1327A">
        <w:rPr>
          <w:rFonts w:ascii="Times New Roman" w:hAnsi="Times New Roman"/>
          <w:bCs/>
          <w:kern w:val="1"/>
          <w:lang w:val="et-EE"/>
        </w:rPr>
        <w:t xml:space="preserve">moratoorium </w:t>
      </w:r>
      <w:r w:rsidR="00E1327A" w:rsidRPr="00E1327A">
        <w:rPr>
          <w:rFonts w:ascii="Times New Roman" w:hAnsi="Times New Roman"/>
          <w:bCs/>
          <w:kern w:val="1"/>
          <w:lang w:val="et-EE"/>
        </w:rPr>
        <w:t>väljakuulutatud või kriisilahendusmenetlus algata</w:t>
      </w:r>
      <w:r w:rsidR="00E1327A">
        <w:rPr>
          <w:rFonts w:ascii="Times New Roman" w:hAnsi="Times New Roman"/>
          <w:bCs/>
          <w:kern w:val="1"/>
          <w:lang w:val="et-EE"/>
        </w:rPr>
        <w:t>tud</w:t>
      </w:r>
      <w:r w:rsidR="00E1327A" w:rsidRPr="00E1327A">
        <w:rPr>
          <w:rFonts w:ascii="Times New Roman" w:hAnsi="Times New Roman"/>
          <w:bCs/>
          <w:kern w:val="1"/>
          <w:lang w:val="et-EE"/>
        </w:rPr>
        <w:t>, kindlustusandjale erirežiim</w:t>
      </w:r>
      <w:r w:rsidR="00E1327A">
        <w:rPr>
          <w:rFonts w:ascii="Times New Roman" w:hAnsi="Times New Roman"/>
          <w:bCs/>
          <w:kern w:val="1"/>
          <w:lang w:val="et-EE"/>
        </w:rPr>
        <w:t xml:space="preserve"> kehtestatud</w:t>
      </w:r>
      <w:r w:rsidR="00E1327A" w:rsidRPr="00E1327A">
        <w:rPr>
          <w:rFonts w:ascii="Times New Roman" w:hAnsi="Times New Roman"/>
          <w:bCs/>
          <w:kern w:val="1"/>
          <w:lang w:val="et-EE"/>
        </w:rPr>
        <w:t xml:space="preserve"> või muu pädeva haldusorgani </w:t>
      </w:r>
      <w:r w:rsidR="00E1327A">
        <w:rPr>
          <w:rFonts w:ascii="Times New Roman" w:hAnsi="Times New Roman"/>
          <w:bCs/>
          <w:kern w:val="1"/>
          <w:lang w:val="et-EE"/>
        </w:rPr>
        <w:t xml:space="preserve">või kohtu </w:t>
      </w:r>
      <w:r w:rsidR="00E1327A" w:rsidRPr="00E1327A">
        <w:rPr>
          <w:rFonts w:ascii="Times New Roman" w:hAnsi="Times New Roman"/>
          <w:bCs/>
          <w:kern w:val="1"/>
          <w:lang w:val="et-EE"/>
        </w:rPr>
        <w:t>tagajärgedelt sarna</w:t>
      </w:r>
      <w:r w:rsidR="00E1327A">
        <w:rPr>
          <w:rFonts w:ascii="Times New Roman" w:hAnsi="Times New Roman"/>
          <w:bCs/>
          <w:kern w:val="1"/>
          <w:lang w:val="et-EE"/>
        </w:rPr>
        <w:t>ne</w:t>
      </w:r>
      <w:r w:rsidR="00E1327A" w:rsidRPr="00E1327A">
        <w:rPr>
          <w:rFonts w:ascii="Times New Roman" w:hAnsi="Times New Roman"/>
          <w:bCs/>
          <w:kern w:val="1"/>
          <w:lang w:val="et-EE"/>
        </w:rPr>
        <w:t xml:space="preserve"> otsus </w:t>
      </w:r>
      <w:r w:rsidR="00E1327A">
        <w:rPr>
          <w:rFonts w:ascii="Times New Roman" w:hAnsi="Times New Roman"/>
          <w:bCs/>
          <w:kern w:val="1"/>
          <w:lang w:val="et-EE"/>
        </w:rPr>
        <w:t>tehtud.</w:t>
      </w:r>
    </w:p>
    <w:p w14:paraId="324204FA" w14:textId="77777777" w:rsidR="00017C62" w:rsidRDefault="00017C62" w:rsidP="00D32BED">
      <w:pPr>
        <w:widowControl w:val="0"/>
        <w:autoSpaceDE w:val="0"/>
        <w:autoSpaceDN w:val="0"/>
        <w:adjustRightInd w:val="0"/>
        <w:jc w:val="both"/>
        <w:rPr>
          <w:rFonts w:ascii="Times New Roman" w:hAnsi="Times New Roman"/>
          <w:bCs/>
          <w:kern w:val="1"/>
          <w:lang w:val="et-EE"/>
        </w:rPr>
      </w:pPr>
    </w:p>
    <w:p w14:paraId="2BC5FD94" w14:textId="20A23AAD" w:rsidR="00E422FC" w:rsidRDefault="00E422FC" w:rsidP="00D32BED">
      <w:pPr>
        <w:widowControl w:val="0"/>
        <w:autoSpaceDE w:val="0"/>
        <w:autoSpaceDN w:val="0"/>
        <w:adjustRightInd w:val="0"/>
        <w:jc w:val="both"/>
        <w:rPr>
          <w:rFonts w:ascii="Times New Roman" w:hAnsi="Times New Roman"/>
          <w:bCs/>
          <w:kern w:val="1"/>
          <w:lang w:val="et-EE"/>
        </w:rPr>
      </w:pPr>
      <w:r w:rsidRPr="0093372E">
        <w:rPr>
          <w:rFonts w:ascii="Times New Roman" w:hAnsi="Times New Roman"/>
          <w:b/>
          <w:kern w:val="1"/>
          <w:lang w:val="et-EE"/>
        </w:rPr>
        <w:t>Ebasoovitava</w:t>
      </w:r>
      <w:r w:rsidR="0093372E" w:rsidRPr="0093372E">
        <w:rPr>
          <w:rFonts w:ascii="Times New Roman" w:hAnsi="Times New Roman"/>
          <w:b/>
          <w:kern w:val="1"/>
          <w:lang w:val="et-EE"/>
        </w:rPr>
        <w:t>ks</w:t>
      </w:r>
      <w:r w:rsidRPr="0093372E">
        <w:rPr>
          <w:rFonts w:ascii="Times New Roman" w:hAnsi="Times New Roman"/>
          <w:b/>
          <w:kern w:val="1"/>
          <w:lang w:val="et-EE"/>
        </w:rPr>
        <w:t xml:space="preserve"> mõju</w:t>
      </w:r>
      <w:r w:rsidR="0093372E" w:rsidRPr="0093372E">
        <w:rPr>
          <w:rFonts w:ascii="Times New Roman" w:hAnsi="Times New Roman"/>
          <w:b/>
          <w:kern w:val="1"/>
          <w:lang w:val="et-EE"/>
        </w:rPr>
        <w:t>ks</w:t>
      </w:r>
      <w:r>
        <w:rPr>
          <w:rFonts w:ascii="Times New Roman" w:hAnsi="Times New Roman"/>
          <w:bCs/>
          <w:kern w:val="1"/>
          <w:lang w:val="et-EE"/>
        </w:rPr>
        <w:t xml:space="preserve"> </w:t>
      </w:r>
      <w:r w:rsidR="0093372E">
        <w:rPr>
          <w:rFonts w:ascii="Times New Roman" w:hAnsi="Times New Roman"/>
          <w:bCs/>
          <w:kern w:val="1"/>
          <w:lang w:val="et-EE"/>
        </w:rPr>
        <w:t xml:space="preserve">võib pidada võimalust, et nö tavalisele väärtpaberikontole ümberregistreeritud väärtpaberist õnnestub investoril kunagi siiski midagi tagasi saada. </w:t>
      </w:r>
      <w:r w:rsidR="0059142C">
        <w:rPr>
          <w:rFonts w:ascii="Times New Roman" w:hAnsi="Times New Roman"/>
          <w:bCs/>
          <w:kern w:val="1"/>
          <w:lang w:val="et-EE"/>
        </w:rPr>
        <w:t>S</w:t>
      </w:r>
      <w:r w:rsidR="0093372E">
        <w:rPr>
          <w:rFonts w:ascii="Times New Roman" w:hAnsi="Times New Roman"/>
          <w:bCs/>
          <w:kern w:val="1"/>
          <w:lang w:val="et-EE"/>
        </w:rPr>
        <w:t xml:space="preserve">ee summa oleks muidu </w:t>
      </w:r>
      <w:r w:rsidR="0059142C">
        <w:rPr>
          <w:rFonts w:ascii="Times New Roman" w:hAnsi="Times New Roman"/>
          <w:bCs/>
          <w:kern w:val="1"/>
          <w:lang w:val="et-EE"/>
        </w:rPr>
        <w:t xml:space="preserve">isiku </w:t>
      </w:r>
      <w:r w:rsidR="0093372E">
        <w:rPr>
          <w:rFonts w:ascii="Times New Roman" w:hAnsi="Times New Roman"/>
          <w:bCs/>
          <w:kern w:val="1"/>
          <w:lang w:val="et-EE"/>
        </w:rPr>
        <w:t xml:space="preserve">II sambasse jäänud ja selle võrra tema pensionivara suurendanud. Riski, et selline võimalus praktikas tekib, </w:t>
      </w:r>
      <w:r w:rsidR="0059142C">
        <w:rPr>
          <w:rFonts w:ascii="Times New Roman" w:hAnsi="Times New Roman"/>
          <w:bCs/>
          <w:kern w:val="1"/>
          <w:lang w:val="et-EE"/>
        </w:rPr>
        <w:t>saa</w:t>
      </w:r>
      <w:r w:rsidR="0093372E">
        <w:rPr>
          <w:rFonts w:ascii="Times New Roman" w:hAnsi="Times New Roman"/>
          <w:bCs/>
          <w:kern w:val="1"/>
          <w:lang w:val="et-EE"/>
        </w:rPr>
        <w:t xml:space="preserve">b aga pidada </w:t>
      </w:r>
      <w:r w:rsidR="0059142C">
        <w:rPr>
          <w:rFonts w:ascii="Times New Roman" w:hAnsi="Times New Roman"/>
          <w:bCs/>
          <w:kern w:val="1"/>
          <w:lang w:val="et-EE"/>
        </w:rPr>
        <w:t>väiksek</w:t>
      </w:r>
      <w:r w:rsidR="0093372E">
        <w:rPr>
          <w:rFonts w:ascii="Times New Roman" w:hAnsi="Times New Roman"/>
          <w:bCs/>
          <w:kern w:val="1"/>
          <w:lang w:val="et-EE"/>
        </w:rPr>
        <w:t>s.</w:t>
      </w:r>
    </w:p>
    <w:p w14:paraId="4FF7483B" w14:textId="5CFA74E2" w:rsidR="00E422FC" w:rsidRPr="0093372E" w:rsidRDefault="00E422FC" w:rsidP="00D32BED">
      <w:pPr>
        <w:widowControl w:val="0"/>
        <w:autoSpaceDE w:val="0"/>
        <w:autoSpaceDN w:val="0"/>
        <w:adjustRightInd w:val="0"/>
        <w:jc w:val="both"/>
        <w:rPr>
          <w:rFonts w:ascii="Times New Roman" w:hAnsi="Times New Roman"/>
          <w:bCs/>
          <w:kern w:val="1"/>
          <w:lang w:val="et-EE"/>
        </w:rPr>
      </w:pPr>
    </w:p>
    <w:p w14:paraId="5A01DEF3" w14:textId="77777777" w:rsidR="00AF7368" w:rsidRDefault="00AF7368" w:rsidP="00D32BED">
      <w:pPr>
        <w:widowControl w:val="0"/>
        <w:autoSpaceDE w:val="0"/>
        <w:autoSpaceDN w:val="0"/>
        <w:adjustRightInd w:val="0"/>
        <w:jc w:val="both"/>
        <w:rPr>
          <w:rFonts w:ascii="Times New Roman" w:hAnsi="Times New Roman"/>
          <w:bCs/>
          <w:kern w:val="1"/>
          <w:lang w:val="et-EE"/>
        </w:rPr>
      </w:pPr>
    </w:p>
    <w:p w14:paraId="6A12F408" w14:textId="3CEB0EC0" w:rsidR="00AF7368" w:rsidRPr="00D32BED" w:rsidRDefault="00AF7368" w:rsidP="00D32BED">
      <w:pPr>
        <w:widowControl w:val="0"/>
        <w:autoSpaceDE w:val="0"/>
        <w:autoSpaceDN w:val="0"/>
        <w:adjustRightInd w:val="0"/>
        <w:jc w:val="both"/>
        <w:rPr>
          <w:rFonts w:ascii="Times New Roman" w:hAnsi="Times New Roman"/>
          <w:b/>
          <w:kern w:val="1"/>
          <w:lang w:val="et-EE"/>
        </w:rPr>
      </w:pPr>
      <w:r w:rsidRPr="00D32BED">
        <w:rPr>
          <w:rFonts w:ascii="Times New Roman" w:hAnsi="Times New Roman"/>
          <w:b/>
          <w:kern w:val="1"/>
          <w:lang w:val="et-EE"/>
        </w:rPr>
        <w:t>6.4. Päritud II samba vara pärija pensionikontole viimine</w:t>
      </w:r>
      <w:r w:rsidR="00142C65">
        <w:rPr>
          <w:rFonts w:ascii="Times New Roman" w:hAnsi="Times New Roman"/>
          <w:b/>
          <w:kern w:val="1"/>
          <w:lang w:val="et-EE"/>
        </w:rPr>
        <w:t xml:space="preserve"> ja pärast garantiiperioodiga pensionilepingu kindlustusvõtja surma </w:t>
      </w:r>
      <w:r w:rsidR="0059142C">
        <w:rPr>
          <w:rFonts w:ascii="Times New Roman" w:hAnsi="Times New Roman"/>
          <w:b/>
          <w:kern w:val="1"/>
          <w:lang w:val="et-EE"/>
        </w:rPr>
        <w:t xml:space="preserve">soodustatud isikule </w:t>
      </w:r>
      <w:r w:rsidR="00142C65">
        <w:rPr>
          <w:rFonts w:ascii="Times New Roman" w:hAnsi="Times New Roman"/>
          <w:b/>
          <w:kern w:val="1"/>
          <w:lang w:val="et-EE"/>
        </w:rPr>
        <w:t xml:space="preserve">väljamaksmisele kuuluva summa </w:t>
      </w:r>
      <w:r w:rsidR="0059142C">
        <w:rPr>
          <w:rFonts w:ascii="Times New Roman" w:hAnsi="Times New Roman"/>
          <w:b/>
          <w:kern w:val="1"/>
          <w:lang w:val="et-EE"/>
        </w:rPr>
        <w:t xml:space="preserve">tema </w:t>
      </w:r>
      <w:r w:rsidR="00142C65">
        <w:rPr>
          <w:rFonts w:ascii="Times New Roman" w:hAnsi="Times New Roman"/>
          <w:b/>
          <w:kern w:val="1"/>
          <w:lang w:val="et-EE"/>
        </w:rPr>
        <w:t>pensionikontole viimine</w:t>
      </w:r>
    </w:p>
    <w:p w14:paraId="1BF5B5A4" w14:textId="77777777" w:rsidR="00AF7368" w:rsidRDefault="00AF7368" w:rsidP="00D32BED">
      <w:pPr>
        <w:jc w:val="both"/>
        <w:rPr>
          <w:rFonts w:ascii="Times New Roman" w:hAnsi="Times New Roman"/>
          <w:lang w:val="et-EE"/>
        </w:rPr>
      </w:pPr>
      <w:r>
        <w:rPr>
          <w:rFonts w:ascii="Times New Roman" w:hAnsi="Times New Roman"/>
          <w:lang w:val="et-EE"/>
        </w:rPr>
        <w:t>Eelnõuga</w:t>
      </w:r>
      <w:r w:rsidRPr="00A46E91">
        <w:rPr>
          <w:rFonts w:ascii="Times New Roman" w:hAnsi="Times New Roman"/>
          <w:lang w:val="et-EE"/>
        </w:rPr>
        <w:t xml:space="preserve"> laiendatakse pärija valikuid ning võimaldatakse tal päritud II samba pensionifondi osakud koheselt vahetada selle pensionifondi osakute vastu või kanda nende osakute tagasivõtmisel saadud raha </w:t>
      </w:r>
      <w:r>
        <w:rPr>
          <w:rFonts w:ascii="Times New Roman" w:hAnsi="Times New Roman"/>
          <w:lang w:val="et-EE"/>
        </w:rPr>
        <w:t xml:space="preserve">kohe </w:t>
      </w:r>
      <w:r w:rsidRPr="00A46E91">
        <w:rPr>
          <w:rFonts w:ascii="Times New Roman" w:hAnsi="Times New Roman"/>
          <w:lang w:val="et-EE"/>
        </w:rPr>
        <w:t>oma pensioni investeerimiskontole, kuhu laekub või peaks laekuma tema kogumispensioni makse.</w:t>
      </w:r>
      <w:r w:rsidRPr="00CC461C">
        <w:rPr>
          <w:rFonts w:ascii="Times New Roman" w:hAnsi="Times New Roman"/>
          <w:lang w:val="et-EE"/>
        </w:rPr>
        <w:t xml:space="preserve"> </w:t>
      </w:r>
      <w:r>
        <w:rPr>
          <w:rFonts w:ascii="Times New Roman" w:hAnsi="Times New Roman"/>
          <w:lang w:val="et-EE"/>
        </w:rPr>
        <w:t>Kehtiva seaduse kohaselt peab pärija raha oma pensionifondi või oma pensioni investeerimiskontole viimiseks esitama eraldi vahetamise avalduse. Seda saab ta teha pärast registripidajale avalduse esitamist o</w:t>
      </w:r>
      <w:r w:rsidRPr="00AC101B">
        <w:rPr>
          <w:rFonts w:ascii="Times New Roman" w:hAnsi="Times New Roman"/>
          <w:lang w:val="et-EE"/>
        </w:rPr>
        <w:t>sakute kandmiseks oma pensionikontole</w:t>
      </w:r>
      <w:r>
        <w:rPr>
          <w:rFonts w:ascii="Times New Roman" w:hAnsi="Times New Roman"/>
          <w:lang w:val="et-EE"/>
        </w:rPr>
        <w:t xml:space="preserve">. </w:t>
      </w:r>
    </w:p>
    <w:p w14:paraId="3C461671" w14:textId="77777777" w:rsidR="00AF7368" w:rsidRDefault="00AF7368" w:rsidP="00D32BED">
      <w:pPr>
        <w:jc w:val="both"/>
        <w:rPr>
          <w:rFonts w:ascii="Times New Roman" w:hAnsi="Times New Roman"/>
          <w:lang w:val="et-EE"/>
        </w:rPr>
      </w:pPr>
    </w:p>
    <w:p w14:paraId="67D7B9ED" w14:textId="77777777" w:rsidR="00AF7368" w:rsidRDefault="00AF7368" w:rsidP="00D32BED">
      <w:pPr>
        <w:jc w:val="both"/>
        <w:rPr>
          <w:rFonts w:ascii="Times New Roman" w:hAnsi="Times New Roman"/>
          <w:lang w:val="et-EE"/>
        </w:rPr>
      </w:pPr>
      <w:r w:rsidRPr="00A46E91">
        <w:rPr>
          <w:rFonts w:ascii="Times New Roman" w:hAnsi="Times New Roman"/>
          <w:lang w:val="et-EE"/>
        </w:rPr>
        <w:t>Kui päritakse pensioni investeerimiskontol olev raha, siis ka selle luba</w:t>
      </w:r>
      <w:r>
        <w:rPr>
          <w:rFonts w:ascii="Times New Roman" w:hAnsi="Times New Roman"/>
          <w:lang w:val="et-EE"/>
        </w:rPr>
        <w:t>b</w:t>
      </w:r>
      <w:r w:rsidRPr="00A46E91">
        <w:rPr>
          <w:rFonts w:ascii="Times New Roman" w:hAnsi="Times New Roman"/>
          <w:lang w:val="et-EE"/>
        </w:rPr>
        <w:t xml:space="preserve"> </w:t>
      </w:r>
      <w:r>
        <w:rPr>
          <w:rFonts w:ascii="Times New Roman" w:hAnsi="Times New Roman"/>
          <w:lang w:val="et-EE"/>
        </w:rPr>
        <w:t>eelnõu</w:t>
      </w:r>
      <w:r w:rsidRPr="00A46E91">
        <w:rPr>
          <w:rFonts w:ascii="Times New Roman" w:hAnsi="Times New Roman"/>
          <w:lang w:val="et-EE"/>
        </w:rPr>
        <w:t xml:space="preserve"> </w:t>
      </w:r>
      <w:r>
        <w:rPr>
          <w:rFonts w:ascii="Times New Roman" w:hAnsi="Times New Roman"/>
          <w:lang w:val="et-EE"/>
        </w:rPr>
        <w:t xml:space="preserve">kohe </w:t>
      </w:r>
      <w:r w:rsidRPr="00A46E91">
        <w:rPr>
          <w:rFonts w:ascii="Times New Roman" w:hAnsi="Times New Roman"/>
          <w:lang w:val="et-EE"/>
        </w:rPr>
        <w:t xml:space="preserve">kanda, kas pensionifondi või pensioni investeerimiskontole, kuhu laekub või peaks laekuma pärija kogumispensioni makse. </w:t>
      </w:r>
    </w:p>
    <w:p w14:paraId="5A04A0DF" w14:textId="77777777" w:rsidR="00AF7368" w:rsidRDefault="00AF7368" w:rsidP="00D32BED">
      <w:pPr>
        <w:shd w:val="clear" w:color="auto" w:fill="FFFFFF"/>
        <w:jc w:val="both"/>
        <w:rPr>
          <w:rFonts w:ascii="Times New Roman" w:hAnsi="Times New Roman"/>
          <w:color w:val="202020"/>
          <w:lang w:val="et-EE" w:eastAsia="et-EE"/>
        </w:rPr>
      </w:pPr>
    </w:p>
    <w:p w14:paraId="60DDE09A" w14:textId="77777777" w:rsidR="00142C65" w:rsidRDefault="00AF7368" w:rsidP="00D32BED">
      <w:pPr>
        <w:widowControl w:val="0"/>
        <w:autoSpaceDE w:val="0"/>
        <w:autoSpaceDN w:val="0"/>
        <w:adjustRightInd w:val="0"/>
        <w:jc w:val="both"/>
        <w:rPr>
          <w:rFonts w:ascii="Times New Roman" w:hAnsi="Times New Roman"/>
          <w:color w:val="202020"/>
          <w:lang w:val="et-EE" w:eastAsia="et-EE"/>
        </w:rPr>
      </w:pPr>
      <w:r>
        <w:rPr>
          <w:rFonts w:ascii="Times New Roman" w:hAnsi="Times New Roman"/>
          <w:color w:val="202020"/>
          <w:lang w:val="et-EE" w:eastAsia="et-EE"/>
        </w:rPr>
        <w:t>Pärijate jaoks, kes soovivad, et päritud II samba varale vastav summa jõuaks pensionifondi või pensioni investeerimiskontole, mida nad ise II sambas pensioni kogumiseks kasutavad, muutub protsess seega sujuvamaks, sest kaob vajadus esitada eraldi veel vahetamise avaldust. Seega vähendab muudatus mõnevõrra pärijate halduskoormust.</w:t>
      </w:r>
      <w:r w:rsidR="000978D6">
        <w:rPr>
          <w:rFonts w:ascii="Times New Roman" w:hAnsi="Times New Roman"/>
          <w:color w:val="202020"/>
          <w:lang w:val="et-EE" w:eastAsia="et-EE"/>
        </w:rPr>
        <w:t xml:space="preserve"> </w:t>
      </w:r>
    </w:p>
    <w:p w14:paraId="41744DA0" w14:textId="77777777" w:rsidR="00142C65" w:rsidRDefault="00142C65" w:rsidP="00D32BED">
      <w:pPr>
        <w:widowControl w:val="0"/>
        <w:autoSpaceDE w:val="0"/>
        <w:autoSpaceDN w:val="0"/>
        <w:adjustRightInd w:val="0"/>
        <w:jc w:val="both"/>
        <w:rPr>
          <w:rFonts w:ascii="Times New Roman" w:hAnsi="Times New Roman"/>
          <w:color w:val="202020"/>
          <w:lang w:val="et-EE" w:eastAsia="et-EE"/>
        </w:rPr>
      </w:pPr>
    </w:p>
    <w:p w14:paraId="4AE1176F" w14:textId="1E377F84" w:rsidR="00142C65" w:rsidRDefault="00142C65" w:rsidP="00142C65">
      <w:pPr>
        <w:shd w:val="clear" w:color="auto" w:fill="FFFFFF"/>
        <w:jc w:val="both"/>
        <w:rPr>
          <w:rFonts w:ascii="Times New Roman" w:hAnsi="Times New Roman"/>
          <w:color w:val="202020"/>
          <w:lang w:val="et-EE" w:eastAsia="et-EE"/>
        </w:rPr>
      </w:pPr>
      <w:r>
        <w:rPr>
          <w:rFonts w:ascii="Times New Roman" w:hAnsi="Times New Roman"/>
          <w:color w:val="202020"/>
          <w:lang w:val="et-EE" w:eastAsia="et-EE"/>
        </w:rPr>
        <w:t xml:space="preserve">Pensionilepingud ei kuulu pärandvara hulka, kuid garantiiperioodiga pensionilepingu puhul </w:t>
      </w:r>
      <w:r w:rsidRPr="0004675A">
        <w:rPr>
          <w:rFonts w:ascii="Times New Roman" w:hAnsi="Times New Roman"/>
          <w:color w:val="202020"/>
          <w:lang w:val="et-EE" w:eastAsia="et-EE"/>
        </w:rPr>
        <w:t xml:space="preserve">on pärast garantiiperioodi jooksul aset leidnud kindlustusvõtja surma nimetatud perioodi lõpuni tegemata jäänud pensionimaksete summas väljamaksele või väljamaksetele õigus </w:t>
      </w:r>
      <w:r>
        <w:rPr>
          <w:rFonts w:ascii="Times New Roman" w:hAnsi="Times New Roman"/>
          <w:color w:val="202020"/>
          <w:lang w:val="et-EE" w:eastAsia="et-EE"/>
        </w:rPr>
        <w:t xml:space="preserve">selle lepingu </w:t>
      </w:r>
      <w:r w:rsidRPr="0004675A">
        <w:rPr>
          <w:rFonts w:ascii="Times New Roman" w:hAnsi="Times New Roman"/>
          <w:color w:val="202020"/>
          <w:lang w:val="et-EE" w:eastAsia="et-EE"/>
        </w:rPr>
        <w:t>soodustatud isikul.</w:t>
      </w:r>
      <w:r>
        <w:rPr>
          <w:rFonts w:ascii="Times New Roman" w:hAnsi="Times New Roman"/>
          <w:color w:val="202020"/>
          <w:lang w:val="et-EE" w:eastAsia="et-EE"/>
        </w:rPr>
        <w:t xml:space="preserve"> Kui soodustatud isik on ka ise läinud pensionile ja tal on samuti sõlmitud pensionileping, on tal väljamakse kõrval võimalik valida ka selle summa kandmine oma pensionilepingusse täiendava kindlustusmaksena.</w:t>
      </w:r>
    </w:p>
    <w:p w14:paraId="384CE52D" w14:textId="77777777" w:rsidR="00142C65" w:rsidRDefault="00142C65" w:rsidP="00142C65">
      <w:pPr>
        <w:shd w:val="clear" w:color="auto" w:fill="FFFFFF"/>
        <w:jc w:val="both"/>
        <w:rPr>
          <w:rFonts w:ascii="Times New Roman" w:hAnsi="Times New Roman"/>
          <w:color w:val="202020"/>
          <w:lang w:val="et-EE" w:eastAsia="et-EE"/>
        </w:rPr>
      </w:pPr>
    </w:p>
    <w:p w14:paraId="22274111" w14:textId="015DBB8D" w:rsidR="00142C65" w:rsidRDefault="00142C65" w:rsidP="00D32BED">
      <w:pPr>
        <w:widowControl w:val="0"/>
        <w:autoSpaceDE w:val="0"/>
        <w:autoSpaceDN w:val="0"/>
        <w:adjustRightInd w:val="0"/>
        <w:jc w:val="both"/>
        <w:rPr>
          <w:rFonts w:ascii="Times New Roman" w:hAnsi="Times New Roman"/>
          <w:color w:val="202020"/>
          <w:lang w:val="et-EE" w:eastAsia="et-EE"/>
        </w:rPr>
      </w:pPr>
      <w:r>
        <w:rPr>
          <w:rFonts w:ascii="Times New Roman" w:hAnsi="Times New Roman"/>
          <w:color w:val="202020"/>
          <w:lang w:val="et-EE" w:eastAsia="et-EE"/>
        </w:rPr>
        <w:t>Eelnõuga antakse ka neile soodustatud isikutele, kel ei ole omal pensionilepingut veel sõlmitud, õigus soovi korral neile muidu väljamaksmisele kuuluv summa oma pensionifondi või pensioni investeerimiskontole võtta.</w:t>
      </w:r>
    </w:p>
    <w:p w14:paraId="30C36410" w14:textId="77777777" w:rsidR="00142C65" w:rsidRDefault="00142C65" w:rsidP="00D32BED">
      <w:pPr>
        <w:widowControl w:val="0"/>
        <w:autoSpaceDE w:val="0"/>
        <w:autoSpaceDN w:val="0"/>
        <w:adjustRightInd w:val="0"/>
        <w:jc w:val="both"/>
        <w:rPr>
          <w:rFonts w:ascii="Times New Roman" w:hAnsi="Times New Roman"/>
          <w:color w:val="202020"/>
          <w:lang w:val="et-EE" w:eastAsia="et-EE"/>
        </w:rPr>
      </w:pPr>
    </w:p>
    <w:p w14:paraId="7E9C7ACD" w14:textId="0BA05688" w:rsidR="00AF7368" w:rsidRDefault="00274F48" w:rsidP="00D32BED">
      <w:pPr>
        <w:widowControl w:val="0"/>
        <w:autoSpaceDE w:val="0"/>
        <w:autoSpaceDN w:val="0"/>
        <w:adjustRightInd w:val="0"/>
        <w:jc w:val="both"/>
        <w:rPr>
          <w:rFonts w:ascii="Times New Roman" w:hAnsi="Times New Roman"/>
          <w:color w:val="202020"/>
          <w:lang w:val="et-EE" w:eastAsia="et-EE"/>
        </w:rPr>
      </w:pPr>
      <w:r>
        <w:rPr>
          <w:rFonts w:ascii="Times New Roman" w:hAnsi="Times New Roman"/>
          <w:color w:val="202020"/>
          <w:lang w:val="et-EE" w:eastAsia="et-EE"/>
        </w:rPr>
        <w:t>Muudatus</w:t>
      </w:r>
      <w:r w:rsidR="00142C65">
        <w:rPr>
          <w:rFonts w:ascii="Times New Roman" w:hAnsi="Times New Roman"/>
          <w:color w:val="202020"/>
          <w:lang w:val="et-EE" w:eastAsia="et-EE"/>
        </w:rPr>
        <w:t>t</w:t>
      </w:r>
      <w:r>
        <w:rPr>
          <w:rFonts w:ascii="Times New Roman" w:hAnsi="Times New Roman"/>
          <w:color w:val="202020"/>
          <w:lang w:val="et-EE" w:eastAsia="et-EE"/>
        </w:rPr>
        <w:t xml:space="preserve">e tulemusel saab </w:t>
      </w:r>
      <w:r w:rsidR="0059142C">
        <w:rPr>
          <w:rFonts w:ascii="Times New Roman" w:hAnsi="Times New Roman"/>
          <w:color w:val="202020"/>
          <w:lang w:val="et-EE" w:eastAsia="et-EE"/>
        </w:rPr>
        <w:t xml:space="preserve">küll </w:t>
      </w:r>
      <w:r>
        <w:rPr>
          <w:rFonts w:ascii="Times New Roman" w:hAnsi="Times New Roman"/>
          <w:color w:val="202020"/>
          <w:lang w:val="et-EE" w:eastAsia="et-EE"/>
        </w:rPr>
        <w:t>pärija edaspidi päritud pensionivara lihtsamalt oma pensionifondi või pensioni investeerimiskontole lasta tuua,</w:t>
      </w:r>
      <w:r w:rsidR="00142C65">
        <w:rPr>
          <w:rFonts w:ascii="Times New Roman" w:hAnsi="Times New Roman"/>
          <w:color w:val="202020"/>
          <w:lang w:val="et-EE" w:eastAsia="et-EE"/>
        </w:rPr>
        <w:t xml:space="preserve"> samuti soodustatud isik</w:t>
      </w:r>
      <w:r w:rsidR="0059142C">
        <w:rPr>
          <w:rFonts w:ascii="Times New Roman" w:hAnsi="Times New Roman"/>
          <w:color w:val="202020"/>
          <w:lang w:val="et-EE" w:eastAsia="et-EE"/>
        </w:rPr>
        <w:t xml:space="preserve"> talle mõeldud summa</w:t>
      </w:r>
      <w:r w:rsidR="00142C65">
        <w:rPr>
          <w:rFonts w:ascii="Times New Roman" w:hAnsi="Times New Roman"/>
          <w:color w:val="202020"/>
          <w:lang w:val="et-EE" w:eastAsia="et-EE"/>
        </w:rPr>
        <w:t xml:space="preserve"> pensionivara</w:t>
      </w:r>
      <w:r w:rsidR="0059142C">
        <w:rPr>
          <w:rFonts w:ascii="Times New Roman" w:hAnsi="Times New Roman"/>
          <w:color w:val="202020"/>
          <w:lang w:val="et-EE" w:eastAsia="et-EE"/>
        </w:rPr>
        <w:t>sse suunata</w:t>
      </w:r>
      <w:r w:rsidR="00142C65">
        <w:rPr>
          <w:rFonts w:ascii="Times New Roman" w:hAnsi="Times New Roman"/>
          <w:color w:val="202020"/>
          <w:lang w:val="et-EE" w:eastAsia="et-EE"/>
        </w:rPr>
        <w:t>,</w:t>
      </w:r>
      <w:r>
        <w:rPr>
          <w:rFonts w:ascii="Times New Roman" w:hAnsi="Times New Roman"/>
          <w:color w:val="202020"/>
          <w:lang w:val="et-EE" w:eastAsia="et-EE"/>
        </w:rPr>
        <w:t xml:space="preserve"> kuid olulist mõju pensionivara suuremale kasvule </w:t>
      </w:r>
      <w:r w:rsidR="0059142C">
        <w:rPr>
          <w:rFonts w:ascii="Times New Roman" w:hAnsi="Times New Roman"/>
          <w:color w:val="202020"/>
          <w:lang w:val="et-EE" w:eastAsia="et-EE"/>
        </w:rPr>
        <w:t xml:space="preserve">praktikas </w:t>
      </w:r>
      <w:r>
        <w:rPr>
          <w:rFonts w:ascii="Times New Roman" w:hAnsi="Times New Roman"/>
          <w:color w:val="202020"/>
          <w:lang w:val="et-EE" w:eastAsia="et-EE"/>
        </w:rPr>
        <w:t>ilmselt oodata ei ole. Otsus pärimise korral raha välja võtta, mitte oma II sambasse tuua, langetatakse eeldatavasti muudel kaalutlustel.</w:t>
      </w:r>
    </w:p>
    <w:p w14:paraId="69F88716" w14:textId="5CB8F0A2" w:rsidR="00AF7368" w:rsidRDefault="00AF7368" w:rsidP="00D32BED">
      <w:pPr>
        <w:widowControl w:val="0"/>
        <w:autoSpaceDE w:val="0"/>
        <w:autoSpaceDN w:val="0"/>
        <w:adjustRightInd w:val="0"/>
        <w:jc w:val="both"/>
        <w:rPr>
          <w:rFonts w:ascii="Times New Roman" w:hAnsi="Times New Roman"/>
          <w:color w:val="202020"/>
          <w:lang w:val="et-EE" w:eastAsia="et-EE"/>
        </w:rPr>
      </w:pPr>
    </w:p>
    <w:p w14:paraId="25EC1CCE" w14:textId="7DB049E7" w:rsidR="00AF7368" w:rsidRDefault="00AF7368" w:rsidP="00D32BED">
      <w:pPr>
        <w:widowControl w:val="0"/>
        <w:autoSpaceDE w:val="0"/>
        <w:autoSpaceDN w:val="0"/>
        <w:adjustRightInd w:val="0"/>
        <w:jc w:val="both"/>
        <w:rPr>
          <w:rFonts w:ascii="Times New Roman" w:hAnsi="Times New Roman"/>
          <w:color w:val="202020"/>
          <w:lang w:val="et-EE" w:eastAsia="et-EE"/>
        </w:rPr>
      </w:pPr>
      <w:r>
        <w:rPr>
          <w:rFonts w:ascii="Times New Roman" w:hAnsi="Times New Roman"/>
          <w:color w:val="202020"/>
          <w:lang w:val="et-EE" w:eastAsia="et-EE"/>
        </w:rPr>
        <w:t>Kavandatud muudatusel on majanduslik mõju pensioniregistri pidajale</w:t>
      </w:r>
      <w:r w:rsidR="00E771A2">
        <w:rPr>
          <w:rFonts w:ascii="Times New Roman" w:hAnsi="Times New Roman"/>
          <w:color w:val="202020"/>
          <w:lang w:val="et-EE" w:eastAsia="et-EE"/>
        </w:rPr>
        <w:t xml:space="preserve"> ja garantiiperioodiga pensionilepingute soodustatud isikutele, kui nad eelnõuga neile antud võimalust kasutavad</w:t>
      </w:r>
      <w:r>
        <w:rPr>
          <w:rFonts w:ascii="Times New Roman" w:hAnsi="Times New Roman"/>
          <w:color w:val="202020"/>
          <w:lang w:val="et-EE" w:eastAsia="et-EE"/>
        </w:rPr>
        <w:t>.</w:t>
      </w:r>
      <w:r w:rsidR="00E771A2">
        <w:rPr>
          <w:rFonts w:ascii="Times New Roman" w:hAnsi="Times New Roman"/>
          <w:color w:val="202020"/>
          <w:lang w:val="et-EE" w:eastAsia="et-EE"/>
        </w:rPr>
        <w:t xml:space="preserve"> Kui soodustat</w:t>
      </w:r>
      <w:r w:rsidR="0059142C">
        <w:rPr>
          <w:rFonts w:ascii="Times New Roman" w:hAnsi="Times New Roman"/>
          <w:color w:val="202020"/>
          <w:lang w:val="et-EE" w:eastAsia="et-EE"/>
        </w:rPr>
        <w:t>ud</w:t>
      </w:r>
      <w:r w:rsidR="00E771A2">
        <w:rPr>
          <w:rFonts w:ascii="Times New Roman" w:hAnsi="Times New Roman"/>
          <w:color w:val="202020"/>
          <w:lang w:val="et-EE" w:eastAsia="et-EE"/>
        </w:rPr>
        <w:t xml:space="preserve"> isik</w:t>
      </w:r>
      <w:r w:rsidR="0059142C">
        <w:rPr>
          <w:rFonts w:ascii="Times New Roman" w:hAnsi="Times New Roman"/>
          <w:color w:val="202020"/>
          <w:lang w:val="et-EE" w:eastAsia="et-EE"/>
        </w:rPr>
        <w:t xml:space="preserve"> valib</w:t>
      </w:r>
      <w:r w:rsidR="00E771A2">
        <w:rPr>
          <w:rFonts w:ascii="Times New Roman" w:hAnsi="Times New Roman"/>
          <w:color w:val="202020"/>
          <w:lang w:val="et-EE" w:eastAsia="et-EE"/>
        </w:rPr>
        <w:t xml:space="preserve"> pärast kindlustusvõtja surma väljamakse asemel ra</w:t>
      </w:r>
      <w:r w:rsidR="0059142C">
        <w:rPr>
          <w:rFonts w:ascii="Times New Roman" w:hAnsi="Times New Roman"/>
          <w:color w:val="202020"/>
          <w:lang w:val="et-EE" w:eastAsia="et-EE"/>
        </w:rPr>
        <w:t>h</w:t>
      </w:r>
      <w:r w:rsidR="00E771A2">
        <w:rPr>
          <w:rFonts w:ascii="Times New Roman" w:hAnsi="Times New Roman"/>
          <w:color w:val="202020"/>
          <w:lang w:val="et-EE" w:eastAsia="et-EE"/>
        </w:rPr>
        <w:t>a kandmis</w:t>
      </w:r>
      <w:r w:rsidR="0059142C">
        <w:rPr>
          <w:rFonts w:ascii="Times New Roman" w:hAnsi="Times New Roman"/>
          <w:color w:val="202020"/>
          <w:lang w:val="et-EE" w:eastAsia="et-EE"/>
        </w:rPr>
        <w:t>e</w:t>
      </w:r>
      <w:r w:rsidR="00E771A2">
        <w:rPr>
          <w:rFonts w:ascii="Times New Roman" w:hAnsi="Times New Roman"/>
          <w:color w:val="202020"/>
          <w:lang w:val="et-EE" w:eastAsia="et-EE"/>
        </w:rPr>
        <w:t xml:space="preserve"> oma II sambasse, toimu</w:t>
      </w:r>
      <w:r w:rsidR="0059142C">
        <w:rPr>
          <w:rFonts w:ascii="Times New Roman" w:hAnsi="Times New Roman"/>
          <w:color w:val="202020"/>
          <w:lang w:val="et-EE" w:eastAsia="et-EE"/>
        </w:rPr>
        <w:t>b</w:t>
      </w:r>
      <w:r w:rsidR="00E771A2">
        <w:rPr>
          <w:rFonts w:ascii="Times New Roman" w:hAnsi="Times New Roman"/>
          <w:color w:val="202020"/>
          <w:lang w:val="et-EE" w:eastAsia="et-EE"/>
        </w:rPr>
        <w:t xml:space="preserve"> lisalaekumi</w:t>
      </w:r>
      <w:r w:rsidR="0059142C">
        <w:rPr>
          <w:rFonts w:ascii="Times New Roman" w:hAnsi="Times New Roman"/>
          <w:color w:val="202020"/>
          <w:lang w:val="et-EE" w:eastAsia="et-EE"/>
        </w:rPr>
        <w:t>n</w:t>
      </w:r>
      <w:r w:rsidR="00E771A2">
        <w:rPr>
          <w:rFonts w:ascii="Times New Roman" w:hAnsi="Times New Roman"/>
          <w:color w:val="202020"/>
          <w:lang w:val="et-EE" w:eastAsia="et-EE"/>
        </w:rPr>
        <w:t>e pensionifondi</w:t>
      </w:r>
      <w:r w:rsidR="0059142C">
        <w:rPr>
          <w:rFonts w:ascii="Times New Roman" w:hAnsi="Times New Roman"/>
          <w:color w:val="202020"/>
          <w:lang w:val="et-EE" w:eastAsia="et-EE"/>
        </w:rPr>
        <w:t xml:space="preserve"> või pensioni investeerimiskontole</w:t>
      </w:r>
      <w:r w:rsidR="00E771A2">
        <w:rPr>
          <w:rFonts w:ascii="Times New Roman" w:hAnsi="Times New Roman"/>
          <w:color w:val="202020"/>
          <w:lang w:val="et-EE" w:eastAsia="et-EE"/>
        </w:rPr>
        <w:t>. Arvestades, et pensionilepinguid sõlmitakse äärmiselt vähe ning on väga keeruline hinnata, kui palju</w:t>
      </w:r>
      <w:r w:rsidR="0059142C">
        <w:rPr>
          <w:rFonts w:ascii="Times New Roman" w:hAnsi="Times New Roman"/>
          <w:color w:val="202020"/>
          <w:lang w:val="et-EE" w:eastAsia="et-EE"/>
        </w:rPr>
        <w:t>d</w:t>
      </w:r>
      <w:r w:rsidR="00E771A2">
        <w:rPr>
          <w:rFonts w:ascii="Times New Roman" w:hAnsi="Times New Roman"/>
          <w:color w:val="202020"/>
          <w:lang w:val="et-EE" w:eastAsia="et-EE"/>
        </w:rPr>
        <w:t xml:space="preserve"> soodustatud isikud seda uut võimalust kasutama hakkaksid, ei ole võimalikku kaasuvat mõju pensionifondidele</w:t>
      </w:r>
      <w:r w:rsidR="0059142C">
        <w:rPr>
          <w:rFonts w:ascii="Times New Roman" w:hAnsi="Times New Roman"/>
          <w:color w:val="202020"/>
          <w:lang w:val="et-EE" w:eastAsia="et-EE"/>
        </w:rPr>
        <w:t xml:space="preserve"> ega pensioni investeerimiskontot pakkuvatele krediidiasutustele</w:t>
      </w:r>
      <w:r w:rsidR="00E771A2">
        <w:rPr>
          <w:rFonts w:ascii="Times New Roman" w:hAnsi="Times New Roman"/>
          <w:color w:val="202020"/>
          <w:lang w:val="et-EE" w:eastAsia="et-EE"/>
        </w:rPr>
        <w:t xml:space="preserve"> eraldi hinnatud. </w:t>
      </w:r>
      <w:r>
        <w:rPr>
          <w:rFonts w:ascii="Times New Roman" w:hAnsi="Times New Roman"/>
          <w:color w:val="202020"/>
          <w:lang w:val="et-EE" w:eastAsia="et-EE"/>
        </w:rPr>
        <w:t xml:space="preserve"> </w:t>
      </w:r>
    </w:p>
    <w:p w14:paraId="54200AF9" w14:textId="77777777" w:rsidR="00AF7368" w:rsidRDefault="00AF7368" w:rsidP="00D32BED">
      <w:pPr>
        <w:widowControl w:val="0"/>
        <w:autoSpaceDE w:val="0"/>
        <w:autoSpaceDN w:val="0"/>
        <w:adjustRightInd w:val="0"/>
        <w:jc w:val="both"/>
        <w:rPr>
          <w:rFonts w:ascii="Times New Roman" w:hAnsi="Times New Roman"/>
          <w:color w:val="202020"/>
          <w:lang w:val="et-EE" w:eastAsia="et-EE"/>
        </w:rPr>
      </w:pPr>
    </w:p>
    <w:p w14:paraId="7F9286E4" w14:textId="4F3CB508" w:rsidR="00AF7368" w:rsidRDefault="00AF7368" w:rsidP="00D32BED">
      <w:pPr>
        <w:widowControl w:val="0"/>
        <w:autoSpaceDE w:val="0"/>
        <w:autoSpaceDN w:val="0"/>
        <w:adjustRightInd w:val="0"/>
        <w:jc w:val="both"/>
        <w:rPr>
          <w:rFonts w:ascii="Times New Roman" w:hAnsi="Times New Roman"/>
          <w:bCs/>
          <w:kern w:val="1"/>
          <w:lang w:val="et-EE"/>
        </w:rPr>
      </w:pPr>
      <w:r w:rsidRPr="002D243E">
        <w:rPr>
          <w:rFonts w:ascii="Times New Roman" w:hAnsi="Times New Roman"/>
          <w:b/>
          <w:kern w:val="1"/>
          <w:lang w:val="et-EE"/>
        </w:rPr>
        <w:t>Sihtrühm</w:t>
      </w:r>
      <w:r w:rsidR="00E771A2">
        <w:rPr>
          <w:rFonts w:ascii="Times New Roman" w:hAnsi="Times New Roman"/>
          <w:b/>
          <w:kern w:val="1"/>
          <w:lang w:val="et-EE"/>
        </w:rPr>
        <w:t xml:space="preserve"> 1</w:t>
      </w:r>
      <w:r w:rsidRPr="002D243E">
        <w:rPr>
          <w:rFonts w:ascii="Times New Roman" w:hAnsi="Times New Roman"/>
          <w:bCs/>
          <w:kern w:val="1"/>
          <w:lang w:val="et-EE"/>
        </w:rPr>
        <w:t xml:space="preserve"> – </w:t>
      </w:r>
      <w:r>
        <w:rPr>
          <w:rFonts w:ascii="Times New Roman" w:hAnsi="Times New Roman"/>
          <w:bCs/>
          <w:kern w:val="1"/>
          <w:lang w:val="et-EE"/>
        </w:rPr>
        <w:t>pensioniregistri pidaja AS Pensionikeskus.</w:t>
      </w:r>
    </w:p>
    <w:p w14:paraId="334DCF24" w14:textId="77777777" w:rsidR="00AF7368" w:rsidRDefault="00AF7368" w:rsidP="00D32BED">
      <w:pPr>
        <w:widowControl w:val="0"/>
        <w:autoSpaceDE w:val="0"/>
        <w:autoSpaceDN w:val="0"/>
        <w:adjustRightInd w:val="0"/>
        <w:jc w:val="both"/>
        <w:rPr>
          <w:rFonts w:ascii="Times New Roman" w:hAnsi="Times New Roman"/>
          <w:bCs/>
          <w:kern w:val="1"/>
          <w:lang w:val="et-EE"/>
        </w:rPr>
      </w:pPr>
    </w:p>
    <w:p w14:paraId="4FDB2275" w14:textId="72266B19" w:rsidR="00AF7368" w:rsidRDefault="00AF7368" w:rsidP="00D32BED">
      <w:pPr>
        <w:widowControl w:val="0"/>
        <w:autoSpaceDE w:val="0"/>
        <w:autoSpaceDN w:val="0"/>
        <w:adjustRightInd w:val="0"/>
        <w:jc w:val="both"/>
        <w:rPr>
          <w:rFonts w:ascii="Times New Roman" w:hAnsi="Times New Roman"/>
          <w:bCs/>
          <w:kern w:val="1"/>
          <w:lang w:val="et-EE"/>
        </w:rPr>
      </w:pPr>
      <w:r w:rsidRPr="00111778">
        <w:rPr>
          <w:rFonts w:ascii="Times New Roman" w:hAnsi="Times New Roman"/>
          <w:b/>
          <w:kern w:val="1"/>
          <w:lang w:val="et-EE"/>
        </w:rPr>
        <w:t>Mõju ulatus ja suurus.</w:t>
      </w:r>
      <w:r>
        <w:rPr>
          <w:rFonts w:ascii="Times New Roman" w:hAnsi="Times New Roman"/>
          <w:bCs/>
          <w:kern w:val="1"/>
          <w:lang w:val="et-EE"/>
        </w:rPr>
        <w:t xml:space="preserve"> Muudatus</w:t>
      </w:r>
      <w:r w:rsidR="00142C65">
        <w:rPr>
          <w:rFonts w:ascii="Times New Roman" w:hAnsi="Times New Roman"/>
          <w:bCs/>
          <w:kern w:val="1"/>
          <w:lang w:val="et-EE"/>
        </w:rPr>
        <w:t>ed</w:t>
      </w:r>
      <w:r>
        <w:rPr>
          <w:rFonts w:ascii="Times New Roman" w:hAnsi="Times New Roman"/>
          <w:bCs/>
          <w:kern w:val="1"/>
          <w:lang w:val="et-EE"/>
        </w:rPr>
        <w:t xml:space="preserve"> tingi</w:t>
      </w:r>
      <w:r w:rsidR="00142C65">
        <w:rPr>
          <w:rFonts w:ascii="Times New Roman" w:hAnsi="Times New Roman"/>
          <w:bCs/>
          <w:kern w:val="1"/>
          <w:lang w:val="et-EE"/>
        </w:rPr>
        <w:t>vad</w:t>
      </w:r>
      <w:r>
        <w:rPr>
          <w:rFonts w:ascii="Times New Roman" w:hAnsi="Times New Roman"/>
          <w:bCs/>
          <w:kern w:val="1"/>
          <w:lang w:val="et-EE"/>
        </w:rPr>
        <w:t xml:space="preserve"> arendusvajaduse pensioniregistri pidajale, mistõttu on</w:t>
      </w:r>
      <w:r w:rsidR="00142C65">
        <w:rPr>
          <w:rFonts w:ascii="Times New Roman" w:hAnsi="Times New Roman"/>
          <w:bCs/>
          <w:kern w:val="1"/>
          <w:lang w:val="et-EE"/>
        </w:rPr>
        <w:t xml:space="preserve"> neil</w:t>
      </w:r>
      <w:r>
        <w:rPr>
          <w:rFonts w:ascii="Times New Roman" w:hAnsi="Times New Roman"/>
          <w:bCs/>
          <w:kern w:val="1"/>
          <w:lang w:val="et-EE"/>
        </w:rPr>
        <w:t xml:space="preserve"> majanduslik mõju</w:t>
      </w:r>
      <w:r w:rsidR="00AF2E4B">
        <w:rPr>
          <w:rFonts w:ascii="Times New Roman" w:hAnsi="Times New Roman"/>
          <w:bCs/>
          <w:kern w:val="1"/>
          <w:lang w:val="et-EE"/>
        </w:rPr>
        <w:t xml:space="preserve">. Eelnõu koostamise ajal on käimas uus pensioniregistri </w:t>
      </w:r>
      <w:r w:rsidR="00AF2E4B">
        <w:rPr>
          <w:rFonts w:ascii="Times New Roman" w:hAnsi="Times New Roman"/>
          <w:bCs/>
          <w:kern w:val="1"/>
          <w:lang w:val="et-EE"/>
        </w:rPr>
        <w:lastRenderedPageBreak/>
        <w:t xml:space="preserve">pidaja hange ning muu hulgas on ka vastav </w:t>
      </w:r>
      <w:r w:rsidR="00AF2E4B" w:rsidRPr="00AF2E4B">
        <w:rPr>
          <w:rFonts w:ascii="Times New Roman" w:hAnsi="Times New Roman"/>
          <w:bCs/>
          <w:kern w:val="1"/>
          <w:lang w:val="et-EE"/>
        </w:rPr>
        <w:t>arendus ette nähtud pensioniregistri pidaja hanke skoobis</w:t>
      </w:r>
      <w:r w:rsidR="00AF2E4B">
        <w:rPr>
          <w:rFonts w:ascii="Times New Roman" w:hAnsi="Times New Roman"/>
          <w:bCs/>
          <w:kern w:val="1"/>
          <w:lang w:val="et-EE"/>
        </w:rPr>
        <w:t xml:space="preserve">. </w:t>
      </w:r>
      <w:r w:rsidR="00832539">
        <w:rPr>
          <w:rFonts w:ascii="Times New Roman" w:hAnsi="Times New Roman"/>
          <w:bCs/>
          <w:kern w:val="1"/>
          <w:lang w:val="et-EE"/>
        </w:rPr>
        <w:t>Vastavalt väärtpaberite registri pidamise seaduse §-le 23 katab pensionir</w:t>
      </w:r>
      <w:r w:rsidR="00832539" w:rsidRPr="00832539">
        <w:rPr>
          <w:rFonts w:ascii="Times New Roman" w:hAnsi="Times New Roman"/>
          <w:bCs/>
          <w:kern w:val="1"/>
          <w:lang w:val="et-EE"/>
        </w:rPr>
        <w:t>egistri</w:t>
      </w:r>
      <w:r w:rsidR="00832539">
        <w:rPr>
          <w:rFonts w:ascii="Times New Roman" w:hAnsi="Times New Roman"/>
          <w:bCs/>
          <w:kern w:val="1"/>
          <w:lang w:val="et-EE"/>
        </w:rPr>
        <w:t xml:space="preserve"> </w:t>
      </w:r>
      <w:r w:rsidR="00832539" w:rsidRPr="00832539">
        <w:rPr>
          <w:rFonts w:ascii="Times New Roman" w:hAnsi="Times New Roman"/>
          <w:bCs/>
          <w:kern w:val="1"/>
          <w:lang w:val="et-EE"/>
        </w:rPr>
        <w:t>pidaja oma teenuste osutamise kulud vastavalt registripidaja kinnitatud hinnakirjale teenuste eest võetava tasuga.</w:t>
      </w:r>
      <w:r w:rsidR="00832539">
        <w:rPr>
          <w:rFonts w:ascii="Times New Roman" w:hAnsi="Times New Roman"/>
          <w:bCs/>
          <w:kern w:val="1"/>
          <w:lang w:val="et-EE"/>
        </w:rPr>
        <w:t xml:space="preserve"> Hinnakirja kooskõlastab rahandusminister. Pensioniregistri pidaja tegevust ei finantseerita riigieelarvest. </w:t>
      </w:r>
    </w:p>
    <w:p w14:paraId="0A921959" w14:textId="77777777" w:rsidR="00142C65" w:rsidRDefault="00142C65" w:rsidP="00D32BED">
      <w:pPr>
        <w:widowControl w:val="0"/>
        <w:autoSpaceDE w:val="0"/>
        <w:autoSpaceDN w:val="0"/>
        <w:adjustRightInd w:val="0"/>
        <w:jc w:val="both"/>
        <w:rPr>
          <w:rFonts w:ascii="Times New Roman" w:hAnsi="Times New Roman"/>
          <w:bCs/>
          <w:kern w:val="1"/>
          <w:lang w:val="et-EE"/>
        </w:rPr>
      </w:pPr>
    </w:p>
    <w:p w14:paraId="24C5C7E2" w14:textId="77777777" w:rsidR="00AF7368" w:rsidRDefault="00AF7368" w:rsidP="00D32BED">
      <w:pPr>
        <w:widowControl w:val="0"/>
        <w:autoSpaceDE w:val="0"/>
        <w:autoSpaceDN w:val="0"/>
        <w:adjustRightInd w:val="0"/>
        <w:jc w:val="both"/>
        <w:rPr>
          <w:rFonts w:ascii="Times New Roman" w:hAnsi="Times New Roman"/>
          <w:bCs/>
          <w:kern w:val="1"/>
          <w:lang w:val="et-EE"/>
        </w:rPr>
      </w:pPr>
      <w:r w:rsidRPr="00111778">
        <w:rPr>
          <w:rFonts w:ascii="Times New Roman" w:hAnsi="Times New Roman"/>
          <w:b/>
          <w:kern w:val="1"/>
          <w:lang w:val="et-EE"/>
        </w:rPr>
        <w:t>Mõju sagedus.</w:t>
      </w:r>
      <w:r>
        <w:rPr>
          <w:rFonts w:ascii="Times New Roman" w:hAnsi="Times New Roman"/>
          <w:bCs/>
          <w:kern w:val="1"/>
          <w:lang w:val="et-EE"/>
        </w:rPr>
        <w:t xml:space="preserve"> Ühekordne.</w:t>
      </w:r>
    </w:p>
    <w:p w14:paraId="5291F9B9" w14:textId="77777777" w:rsidR="00AF7368" w:rsidRDefault="00AF7368" w:rsidP="00D32BED">
      <w:pPr>
        <w:widowControl w:val="0"/>
        <w:autoSpaceDE w:val="0"/>
        <w:autoSpaceDN w:val="0"/>
        <w:adjustRightInd w:val="0"/>
        <w:jc w:val="both"/>
        <w:rPr>
          <w:rFonts w:ascii="Times New Roman" w:hAnsi="Times New Roman"/>
          <w:bCs/>
          <w:kern w:val="1"/>
          <w:lang w:val="et-EE"/>
        </w:rPr>
      </w:pPr>
    </w:p>
    <w:p w14:paraId="7A6192F2" w14:textId="3415A138" w:rsidR="00AF7368" w:rsidRPr="00215ABE" w:rsidRDefault="00AF7368" w:rsidP="00D32BED">
      <w:pPr>
        <w:widowControl w:val="0"/>
        <w:autoSpaceDE w:val="0"/>
        <w:autoSpaceDN w:val="0"/>
        <w:adjustRightInd w:val="0"/>
        <w:jc w:val="both"/>
        <w:rPr>
          <w:rFonts w:ascii="Times New Roman" w:hAnsi="Times New Roman"/>
          <w:bCs/>
          <w:kern w:val="1"/>
          <w:lang w:val="et-EE"/>
        </w:rPr>
      </w:pPr>
      <w:r w:rsidRPr="00111778">
        <w:rPr>
          <w:rFonts w:ascii="Times New Roman" w:hAnsi="Times New Roman"/>
          <w:b/>
          <w:kern w:val="1"/>
          <w:lang w:val="et-EE"/>
        </w:rPr>
        <w:t>Ebasoovitava mõju risk.</w:t>
      </w:r>
      <w:r>
        <w:rPr>
          <w:rFonts w:ascii="Times New Roman" w:hAnsi="Times New Roman"/>
          <w:bCs/>
          <w:kern w:val="1"/>
          <w:lang w:val="et-EE"/>
        </w:rPr>
        <w:t xml:space="preserve"> Ebasoovitavaid mõjusid ei ole tuvastatud.</w:t>
      </w:r>
    </w:p>
    <w:p w14:paraId="53646112" w14:textId="7B037A1F" w:rsidR="00F23B73" w:rsidRDefault="00F23B73" w:rsidP="00D32BED">
      <w:pPr>
        <w:widowControl w:val="0"/>
        <w:autoSpaceDE w:val="0"/>
        <w:autoSpaceDN w:val="0"/>
        <w:adjustRightInd w:val="0"/>
        <w:jc w:val="both"/>
        <w:rPr>
          <w:rFonts w:ascii="Times New Roman" w:hAnsi="Times New Roman"/>
          <w:bCs/>
          <w:kern w:val="1"/>
          <w:highlight w:val="yellow"/>
          <w:lang w:val="et-EE"/>
        </w:rPr>
      </w:pPr>
    </w:p>
    <w:p w14:paraId="1C49AD33" w14:textId="2CF53D91" w:rsidR="00E771A2" w:rsidRDefault="00E771A2" w:rsidP="00E771A2">
      <w:pPr>
        <w:widowControl w:val="0"/>
        <w:autoSpaceDE w:val="0"/>
        <w:autoSpaceDN w:val="0"/>
        <w:adjustRightInd w:val="0"/>
        <w:jc w:val="both"/>
        <w:rPr>
          <w:rFonts w:ascii="Times New Roman" w:hAnsi="Times New Roman"/>
          <w:bCs/>
          <w:kern w:val="1"/>
          <w:lang w:val="et-EE"/>
        </w:rPr>
      </w:pPr>
      <w:r w:rsidRPr="002D243E">
        <w:rPr>
          <w:rFonts w:ascii="Times New Roman" w:hAnsi="Times New Roman"/>
          <w:b/>
          <w:kern w:val="1"/>
          <w:lang w:val="et-EE"/>
        </w:rPr>
        <w:t>Sihtrühm</w:t>
      </w:r>
      <w:r>
        <w:rPr>
          <w:rFonts w:ascii="Times New Roman" w:hAnsi="Times New Roman"/>
          <w:b/>
          <w:kern w:val="1"/>
          <w:lang w:val="et-EE"/>
        </w:rPr>
        <w:t xml:space="preserve"> 2</w:t>
      </w:r>
      <w:r w:rsidRPr="002D243E">
        <w:rPr>
          <w:rFonts w:ascii="Times New Roman" w:hAnsi="Times New Roman"/>
          <w:bCs/>
          <w:kern w:val="1"/>
          <w:lang w:val="et-EE"/>
        </w:rPr>
        <w:t xml:space="preserve"> – </w:t>
      </w:r>
      <w:bookmarkStart w:id="7" w:name="_Hlk165966236"/>
      <w:r>
        <w:rPr>
          <w:rFonts w:ascii="Times New Roman" w:hAnsi="Times New Roman"/>
          <w:bCs/>
          <w:kern w:val="1"/>
          <w:lang w:val="et-EE"/>
        </w:rPr>
        <w:t>garantiiperioodiga pensionilepingute soodustatud isikud. 2023. aasta lõpu seisuga oli</w:t>
      </w:r>
      <w:r w:rsidR="00A91C36">
        <w:rPr>
          <w:rFonts w:ascii="Times New Roman" w:hAnsi="Times New Roman"/>
          <w:bCs/>
          <w:kern w:val="1"/>
          <w:lang w:val="et-EE"/>
        </w:rPr>
        <w:t xml:space="preserve"> garantiiperioodiga</w:t>
      </w:r>
      <w:r>
        <w:rPr>
          <w:rFonts w:ascii="Times New Roman" w:hAnsi="Times New Roman"/>
          <w:bCs/>
          <w:kern w:val="1"/>
          <w:lang w:val="et-EE"/>
        </w:rPr>
        <w:t xml:space="preserve"> pensionilepinguid kokku 3</w:t>
      </w:r>
      <w:r w:rsidR="00A91C36">
        <w:rPr>
          <w:rFonts w:ascii="Times New Roman" w:hAnsi="Times New Roman"/>
          <w:bCs/>
          <w:kern w:val="1"/>
          <w:lang w:val="et-EE"/>
        </w:rPr>
        <w:t> 318 (so 86% kõigist pensionilepingutest)</w:t>
      </w:r>
      <w:r>
        <w:rPr>
          <w:rFonts w:ascii="Times New Roman" w:hAnsi="Times New Roman"/>
          <w:bCs/>
          <w:kern w:val="1"/>
          <w:lang w:val="et-EE"/>
        </w:rPr>
        <w:t xml:space="preserve">. Sihtrühma kuulumiseks peab </w:t>
      </w:r>
      <w:r w:rsidR="00A91C36">
        <w:rPr>
          <w:rFonts w:ascii="Times New Roman" w:hAnsi="Times New Roman"/>
          <w:bCs/>
          <w:kern w:val="1"/>
          <w:lang w:val="et-EE"/>
        </w:rPr>
        <w:t>lepingu</w:t>
      </w:r>
      <w:r>
        <w:rPr>
          <w:rFonts w:ascii="Times New Roman" w:hAnsi="Times New Roman"/>
          <w:bCs/>
          <w:kern w:val="1"/>
          <w:lang w:val="et-EE"/>
        </w:rPr>
        <w:t xml:space="preserve"> garantiiperiood veel </w:t>
      </w:r>
      <w:r w:rsidR="00A91C36">
        <w:rPr>
          <w:rFonts w:ascii="Times New Roman" w:hAnsi="Times New Roman"/>
          <w:bCs/>
          <w:kern w:val="1"/>
          <w:lang w:val="et-EE"/>
        </w:rPr>
        <w:t xml:space="preserve">ka </w:t>
      </w:r>
      <w:r>
        <w:rPr>
          <w:rFonts w:ascii="Times New Roman" w:hAnsi="Times New Roman"/>
          <w:bCs/>
          <w:kern w:val="1"/>
          <w:lang w:val="et-EE"/>
        </w:rPr>
        <w:t>kestma.</w:t>
      </w:r>
      <w:r w:rsidR="00A91C36">
        <w:rPr>
          <w:rFonts w:ascii="Times New Roman" w:hAnsi="Times New Roman"/>
          <w:bCs/>
          <w:kern w:val="1"/>
          <w:lang w:val="et-EE"/>
        </w:rPr>
        <w:t xml:space="preserve"> Garantiiperioodi pikkus lepitakse kokku lepingu sõlmimisel. 2023. aasta lõpu seisuga oli keskmine garantiiperioodi pikkus 12,7 aastat (lühim ja pikim garantiiperiood 1 ja 23 aastat).</w:t>
      </w:r>
      <w:r>
        <w:rPr>
          <w:rFonts w:ascii="Times New Roman" w:hAnsi="Times New Roman"/>
          <w:bCs/>
          <w:kern w:val="1"/>
          <w:lang w:val="et-EE"/>
        </w:rPr>
        <w:t xml:space="preserve"> Soodustatud isikute arv ei ole eelnõu koostajatel teada (nimeliselt soodustatud isiku määramise asemel võib soodustatud isikutena määratleda ka pärijad). </w:t>
      </w:r>
      <w:r w:rsidR="0058670A">
        <w:rPr>
          <w:rFonts w:ascii="Times New Roman" w:hAnsi="Times New Roman"/>
          <w:bCs/>
          <w:kern w:val="1"/>
          <w:lang w:val="et-EE"/>
        </w:rPr>
        <w:t xml:space="preserve">Arvestades lepingute arvu, on </w:t>
      </w:r>
      <w:r>
        <w:rPr>
          <w:rFonts w:ascii="Times New Roman" w:hAnsi="Times New Roman"/>
          <w:bCs/>
          <w:kern w:val="1"/>
          <w:lang w:val="et-EE"/>
        </w:rPr>
        <w:t xml:space="preserve">sihtrühm </w:t>
      </w:r>
      <w:r w:rsidR="0058670A">
        <w:rPr>
          <w:rFonts w:ascii="Times New Roman" w:hAnsi="Times New Roman"/>
          <w:bCs/>
          <w:kern w:val="1"/>
          <w:lang w:val="et-EE"/>
        </w:rPr>
        <w:t xml:space="preserve">igal juhul </w:t>
      </w:r>
      <w:r>
        <w:rPr>
          <w:rFonts w:ascii="Times New Roman" w:hAnsi="Times New Roman"/>
          <w:bCs/>
          <w:kern w:val="1"/>
          <w:lang w:val="et-EE"/>
        </w:rPr>
        <w:t xml:space="preserve">väga väike. </w:t>
      </w:r>
    </w:p>
    <w:bookmarkEnd w:id="7"/>
    <w:p w14:paraId="518648AE" w14:textId="77777777" w:rsidR="00E771A2" w:rsidRDefault="00E771A2" w:rsidP="00E771A2">
      <w:pPr>
        <w:widowControl w:val="0"/>
        <w:autoSpaceDE w:val="0"/>
        <w:autoSpaceDN w:val="0"/>
        <w:adjustRightInd w:val="0"/>
        <w:jc w:val="both"/>
        <w:rPr>
          <w:rFonts w:ascii="Times New Roman" w:hAnsi="Times New Roman"/>
          <w:bCs/>
          <w:kern w:val="1"/>
          <w:lang w:val="et-EE"/>
        </w:rPr>
      </w:pPr>
    </w:p>
    <w:p w14:paraId="487C1B57" w14:textId="55A10F85" w:rsidR="00063331" w:rsidRDefault="00E771A2" w:rsidP="00E771A2">
      <w:pPr>
        <w:widowControl w:val="0"/>
        <w:autoSpaceDE w:val="0"/>
        <w:autoSpaceDN w:val="0"/>
        <w:adjustRightInd w:val="0"/>
        <w:jc w:val="both"/>
        <w:rPr>
          <w:rFonts w:ascii="Times New Roman" w:hAnsi="Times New Roman"/>
          <w:bCs/>
          <w:kern w:val="1"/>
          <w:lang w:val="et-EE"/>
        </w:rPr>
      </w:pPr>
      <w:r w:rsidRPr="00111778">
        <w:rPr>
          <w:rFonts w:ascii="Times New Roman" w:hAnsi="Times New Roman"/>
          <w:b/>
          <w:kern w:val="1"/>
          <w:lang w:val="et-EE"/>
        </w:rPr>
        <w:t>Mõju ulatus ja suurus.</w:t>
      </w:r>
      <w:r>
        <w:rPr>
          <w:rFonts w:ascii="Times New Roman" w:hAnsi="Times New Roman"/>
          <w:bCs/>
          <w:kern w:val="1"/>
          <w:lang w:val="et-EE"/>
        </w:rPr>
        <w:t xml:space="preserve"> Muudatus annab soodustatud isikutele lisavõimaluse. </w:t>
      </w:r>
      <w:r w:rsidR="00063331">
        <w:rPr>
          <w:rFonts w:ascii="Times New Roman" w:hAnsi="Times New Roman"/>
          <w:bCs/>
          <w:kern w:val="1"/>
          <w:lang w:val="et-EE"/>
        </w:rPr>
        <w:t>Kui soodustatud isik soovib, võib ta endiselt valida väljamakse või kui ta on ise ka juba pensionil ja sõlminud omale samuti pensionilepingu, siis lasta vastav summa täiendava kindlustusmaksena oma pensionilepingusse kanda. Lisaks saavad soodustatud isikud, kes on II sambaga liitunud, võimaluse võtta neile soodustatud isikuna muidu väljamaksmisele kuuluv summa oma pensionikontole (st pensionifondi või pensioni investeerimiskontole). Tegemist on lisavõimalusega, mis on soodustatud isikule soodsa iseloomuga.</w:t>
      </w:r>
    </w:p>
    <w:p w14:paraId="3048C6A3" w14:textId="77777777" w:rsidR="00063331" w:rsidRDefault="00063331" w:rsidP="00E771A2">
      <w:pPr>
        <w:widowControl w:val="0"/>
        <w:autoSpaceDE w:val="0"/>
        <w:autoSpaceDN w:val="0"/>
        <w:adjustRightInd w:val="0"/>
        <w:jc w:val="both"/>
        <w:rPr>
          <w:rFonts w:ascii="Times New Roman" w:hAnsi="Times New Roman"/>
          <w:bCs/>
          <w:kern w:val="1"/>
          <w:lang w:val="et-EE"/>
        </w:rPr>
      </w:pPr>
    </w:p>
    <w:p w14:paraId="4BB9F419" w14:textId="05B5268A" w:rsidR="00556966" w:rsidRDefault="00063331" w:rsidP="00E771A2">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Soodustatud isikule tehtav väljamakse on maksustatud tulumaksuga. Kui soodustatud isik valib väljamakse asemel raha kandmise oma II sambasse, sõltub maksustamine juba sellest, kuidas ta tulevikus seda raha II sambast välja võtma hakkab. Eluaegne ja vähemalt keskmiselt elada jäänud aastatele jaotatud tähtajaline pension on tulumaksuvabad, lühem tähtajaline pension ja ühekordsed väljamaksed maksustatud tulumaksuga määras 10%. Seega tekib soodustatud isikul võimalus lükata garantiiperioodiga pensionilepingust kindlustusvõtja surma järel saadava summa kasutuselevõttu edasi ja seeläbi ka võimalus soodsamateks maksu</w:t>
      </w:r>
      <w:r w:rsidR="0058670A">
        <w:rPr>
          <w:rFonts w:ascii="Times New Roman" w:hAnsi="Times New Roman"/>
          <w:bCs/>
          <w:kern w:val="1"/>
          <w:lang w:val="et-EE"/>
        </w:rPr>
        <w:t>s</w:t>
      </w:r>
      <w:r>
        <w:rPr>
          <w:rFonts w:ascii="Times New Roman" w:hAnsi="Times New Roman"/>
          <w:bCs/>
          <w:kern w:val="1"/>
          <w:lang w:val="et-EE"/>
        </w:rPr>
        <w:t>ta</w:t>
      </w:r>
      <w:r w:rsidR="0058670A">
        <w:rPr>
          <w:rFonts w:ascii="Times New Roman" w:hAnsi="Times New Roman"/>
          <w:bCs/>
          <w:kern w:val="1"/>
          <w:lang w:val="et-EE"/>
        </w:rPr>
        <w:t>miseks</w:t>
      </w:r>
      <w:r>
        <w:rPr>
          <w:rFonts w:ascii="Times New Roman" w:hAnsi="Times New Roman"/>
          <w:bCs/>
          <w:kern w:val="1"/>
          <w:lang w:val="et-EE"/>
        </w:rPr>
        <w:t xml:space="preserve">. </w:t>
      </w:r>
      <w:r w:rsidR="00D81AFF">
        <w:rPr>
          <w:rFonts w:ascii="Times New Roman" w:hAnsi="Times New Roman"/>
          <w:bCs/>
          <w:kern w:val="1"/>
          <w:lang w:val="et-EE"/>
        </w:rPr>
        <w:t xml:space="preserve">Mõju suurus konkreetsele soodustatud isikule sõltub summa suurusest, mis tema II sambasse laekuks ja väljamaksete viisist, mille ta hiljem valib (kas 10% maksumääraga või maksuvaba). Maksuvabasid väljamakseid kasutatakse praktikas väga vähe, näiteks 2023. aastal valisid kõigist pensionile jäänutest ühekordsed väljamaksed 92,7%. </w:t>
      </w:r>
      <w:r w:rsidR="007B56FF">
        <w:rPr>
          <w:rFonts w:ascii="Times New Roman" w:hAnsi="Times New Roman"/>
          <w:bCs/>
          <w:kern w:val="1"/>
          <w:lang w:val="et-EE"/>
        </w:rPr>
        <w:t xml:space="preserve">Keskmine pensionilepingu kuine väljamakse on umbes 70 eurot, kui garantiiperioodiks oli valitud näiteks 15 aastat ja kindlustusvõtja sureb 5 aastat enne garantiiperioodi lõppu, oleks soodustatud isikule väljamaksmisele kuuluv summa 4 200 eurot. Seda juhul, kui soodustatud isikuid on lepingus üks (praktikas on enamasti rohkem). </w:t>
      </w:r>
      <w:r w:rsidR="00556966">
        <w:rPr>
          <w:rFonts w:ascii="Times New Roman" w:hAnsi="Times New Roman"/>
          <w:bCs/>
          <w:kern w:val="1"/>
          <w:lang w:val="et-EE"/>
        </w:rPr>
        <w:t>Võttes selle raha kohe välja, tuleks tulumaksuna tasuda 924 eurot (maksumäär 22% alates 2025). Võttes raha soodustatud isiku II sambasse ja valides hiljem pensionieas ühekordse väljamakse, läheks tulumaksuks samalt summal</w:t>
      </w:r>
      <w:r w:rsidR="0058670A">
        <w:rPr>
          <w:rFonts w:ascii="Times New Roman" w:hAnsi="Times New Roman"/>
          <w:bCs/>
          <w:kern w:val="1"/>
          <w:lang w:val="et-EE"/>
        </w:rPr>
        <w:t>t</w:t>
      </w:r>
      <w:r w:rsidR="00556966">
        <w:rPr>
          <w:rFonts w:ascii="Times New Roman" w:hAnsi="Times New Roman"/>
          <w:bCs/>
          <w:kern w:val="1"/>
          <w:lang w:val="et-EE"/>
        </w:rPr>
        <w:t xml:space="preserve"> 420 eurot ehk kasu </w:t>
      </w:r>
      <w:r w:rsidR="0058670A">
        <w:rPr>
          <w:rFonts w:ascii="Times New Roman" w:hAnsi="Times New Roman"/>
          <w:bCs/>
          <w:kern w:val="1"/>
          <w:lang w:val="et-EE"/>
        </w:rPr>
        <w:t>soodsamast</w:t>
      </w:r>
      <w:r w:rsidR="00556966">
        <w:rPr>
          <w:rFonts w:ascii="Times New Roman" w:hAnsi="Times New Roman"/>
          <w:bCs/>
          <w:kern w:val="1"/>
          <w:lang w:val="et-EE"/>
        </w:rPr>
        <w:t xml:space="preserve"> maksustamisest </w:t>
      </w:r>
      <w:r w:rsidR="0058670A">
        <w:rPr>
          <w:rFonts w:ascii="Times New Roman" w:hAnsi="Times New Roman"/>
          <w:bCs/>
          <w:kern w:val="1"/>
          <w:lang w:val="et-EE"/>
        </w:rPr>
        <w:t xml:space="preserve">oleks </w:t>
      </w:r>
      <w:r w:rsidR="00556966">
        <w:rPr>
          <w:rFonts w:ascii="Times New Roman" w:hAnsi="Times New Roman"/>
          <w:bCs/>
          <w:kern w:val="1"/>
          <w:lang w:val="et-EE"/>
        </w:rPr>
        <w:t>504 eurot. Praktikas sõltub mõju aga väga paljudest asjaoludest, sealhulgas lepingusse valitud garantiiperioodi pikkusest</w:t>
      </w:r>
      <w:r w:rsidR="00A91C36">
        <w:rPr>
          <w:rFonts w:ascii="Times New Roman" w:hAnsi="Times New Roman"/>
          <w:bCs/>
          <w:kern w:val="1"/>
          <w:lang w:val="et-EE"/>
        </w:rPr>
        <w:t xml:space="preserve"> </w:t>
      </w:r>
      <w:bookmarkStart w:id="8" w:name="_Hlk165966398"/>
      <w:r w:rsidR="00A91C36">
        <w:rPr>
          <w:rFonts w:ascii="Times New Roman" w:hAnsi="Times New Roman"/>
          <w:bCs/>
          <w:kern w:val="1"/>
          <w:lang w:val="et-EE"/>
        </w:rPr>
        <w:t>(keskmine garantiiperioodi pikkus oli 2023. aasta lõpu seisuga 12,7 aastat)</w:t>
      </w:r>
      <w:bookmarkEnd w:id="8"/>
      <w:r w:rsidR="00556966">
        <w:rPr>
          <w:rFonts w:ascii="Times New Roman" w:hAnsi="Times New Roman"/>
          <w:bCs/>
          <w:kern w:val="1"/>
          <w:lang w:val="et-EE"/>
        </w:rPr>
        <w:t xml:space="preserve">, soodustatud isikute arvust, selle pensionilepingu alusel makstava pensioni suurusest ja kindlustusvõtja surma hetkest. Siinkohal tasub tähele panna, et vastavalt Statistikaameti keskmiselt elada jäänud aastatele elavad Eesti inimesed </w:t>
      </w:r>
      <w:r w:rsidR="00B171FA">
        <w:rPr>
          <w:rFonts w:ascii="Times New Roman" w:hAnsi="Times New Roman"/>
          <w:bCs/>
          <w:kern w:val="1"/>
          <w:lang w:val="et-EE"/>
        </w:rPr>
        <w:t>II samba pensioniikka</w:t>
      </w:r>
      <w:r w:rsidR="00850377">
        <w:rPr>
          <w:rFonts w:ascii="Times New Roman" w:hAnsi="Times New Roman"/>
          <w:bCs/>
          <w:kern w:val="1"/>
          <w:lang w:val="et-EE"/>
        </w:rPr>
        <w:t xml:space="preserve"> jõudnuna</w:t>
      </w:r>
      <w:r w:rsidR="00B171FA">
        <w:rPr>
          <w:rFonts w:ascii="Times New Roman" w:hAnsi="Times New Roman"/>
          <w:bCs/>
          <w:kern w:val="1"/>
          <w:lang w:val="et-EE"/>
        </w:rPr>
        <w:t xml:space="preserve"> </w:t>
      </w:r>
      <w:r w:rsidR="00164F11">
        <w:rPr>
          <w:rFonts w:ascii="Times New Roman" w:hAnsi="Times New Roman"/>
          <w:bCs/>
          <w:kern w:val="1"/>
          <w:lang w:val="et-EE"/>
        </w:rPr>
        <w:t>(sõltub riiklikust vanaduspensioni east, praegu 60 aastat)</w:t>
      </w:r>
      <w:r w:rsidR="00B171FA">
        <w:rPr>
          <w:rFonts w:ascii="Times New Roman" w:hAnsi="Times New Roman"/>
          <w:bCs/>
          <w:kern w:val="1"/>
          <w:lang w:val="et-EE"/>
        </w:rPr>
        <w:t xml:space="preserve"> </w:t>
      </w:r>
      <w:r w:rsidR="00556966">
        <w:rPr>
          <w:rFonts w:ascii="Times New Roman" w:hAnsi="Times New Roman"/>
          <w:bCs/>
          <w:kern w:val="1"/>
          <w:lang w:val="et-EE"/>
        </w:rPr>
        <w:t>veel keskmiselt 2</w:t>
      </w:r>
      <w:r w:rsidR="00850377">
        <w:rPr>
          <w:rFonts w:ascii="Times New Roman" w:hAnsi="Times New Roman"/>
          <w:bCs/>
          <w:kern w:val="1"/>
          <w:lang w:val="et-EE"/>
        </w:rPr>
        <w:t>1,99</w:t>
      </w:r>
      <w:r w:rsidR="00556966">
        <w:rPr>
          <w:rFonts w:ascii="Times New Roman" w:hAnsi="Times New Roman"/>
          <w:bCs/>
          <w:kern w:val="1"/>
          <w:lang w:val="et-EE"/>
        </w:rPr>
        <w:t xml:space="preserve"> aastat.</w:t>
      </w:r>
    </w:p>
    <w:p w14:paraId="55313E86" w14:textId="77777777" w:rsidR="00556966" w:rsidRDefault="00556966" w:rsidP="00E771A2">
      <w:pPr>
        <w:widowControl w:val="0"/>
        <w:autoSpaceDE w:val="0"/>
        <w:autoSpaceDN w:val="0"/>
        <w:adjustRightInd w:val="0"/>
        <w:jc w:val="both"/>
        <w:rPr>
          <w:rFonts w:ascii="Times New Roman" w:hAnsi="Times New Roman"/>
          <w:bCs/>
          <w:kern w:val="1"/>
          <w:lang w:val="et-EE"/>
        </w:rPr>
      </w:pPr>
    </w:p>
    <w:p w14:paraId="6BB82EEB" w14:textId="5985B5CB" w:rsidR="00063331" w:rsidRDefault="00556966" w:rsidP="00E771A2">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lastRenderedPageBreak/>
        <w:t>Kui II sambaga liitunu otsustab sambast lahkuda ja võtab raha välja enne, kui ta jõuab II samba pensioniikka, peetakse väljamakselt kinni tavapärases määras tulumaks (22% alates 2025).</w:t>
      </w:r>
    </w:p>
    <w:p w14:paraId="3BB3CC11" w14:textId="77777777" w:rsidR="00063331" w:rsidRDefault="00063331" w:rsidP="00E771A2">
      <w:pPr>
        <w:widowControl w:val="0"/>
        <w:autoSpaceDE w:val="0"/>
        <w:autoSpaceDN w:val="0"/>
        <w:adjustRightInd w:val="0"/>
        <w:jc w:val="both"/>
        <w:rPr>
          <w:rFonts w:ascii="Times New Roman" w:hAnsi="Times New Roman"/>
          <w:bCs/>
          <w:kern w:val="1"/>
          <w:lang w:val="et-EE"/>
        </w:rPr>
      </w:pPr>
    </w:p>
    <w:p w14:paraId="1512D426" w14:textId="26FE4CF4" w:rsidR="00556966" w:rsidRDefault="0058670A" w:rsidP="00E771A2">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 xml:space="preserve">Muudatuse eesmärgiks on pakkuda garantiiperioodiga pensionilepingute soodustatud isikutele II samba pärijatega võrdseid võimalusi. </w:t>
      </w:r>
      <w:r w:rsidR="00556966">
        <w:rPr>
          <w:rFonts w:ascii="Times New Roman" w:hAnsi="Times New Roman"/>
          <w:bCs/>
          <w:kern w:val="1"/>
          <w:lang w:val="et-EE"/>
        </w:rPr>
        <w:t xml:space="preserve">Muudatuse majanduslik mõju </w:t>
      </w:r>
      <w:r>
        <w:rPr>
          <w:rFonts w:ascii="Times New Roman" w:hAnsi="Times New Roman"/>
          <w:bCs/>
          <w:kern w:val="1"/>
          <w:lang w:val="et-EE"/>
        </w:rPr>
        <w:t xml:space="preserve">konkreetsele </w:t>
      </w:r>
      <w:r w:rsidR="00556966">
        <w:rPr>
          <w:rFonts w:ascii="Times New Roman" w:hAnsi="Times New Roman"/>
          <w:bCs/>
          <w:kern w:val="1"/>
          <w:lang w:val="et-EE"/>
        </w:rPr>
        <w:t>soodustatud isikule sõltub tema otsus</w:t>
      </w:r>
      <w:r>
        <w:rPr>
          <w:rFonts w:ascii="Times New Roman" w:hAnsi="Times New Roman"/>
          <w:bCs/>
          <w:kern w:val="1"/>
          <w:lang w:val="et-EE"/>
        </w:rPr>
        <w:t>t</w:t>
      </w:r>
      <w:r w:rsidR="00556966">
        <w:rPr>
          <w:rFonts w:ascii="Times New Roman" w:hAnsi="Times New Roman"/>
          <w:bCs/>
          <w:kern w:val="1"/>
          <w:lang w:val="et-EE"/>
        </w:rPr>
        <w:t>est</w:t>
      </w:r>
      <w:r>
        <w:rPr>
          <w:rFonts w:ascii="Times New Roman" w:hAnsi="Times New Roman"/>
          <w:bCs/>
          <w:kern w:val="1"/>
          <w:lang w:val="et-EE"/>
        </w:rPr>
        <w:t xml:space="preserve"> (kas valida kindlustusvõtja surma korral väljamakse või lasta see raha oma II sambasse kanda, viimasel juhul ka, millal ja kuidas II sambast raha välja võtta)</w:t>
      </w:r>
      <w:r w:rsidR="00556966">
        <w:rPr>
          <w:rFonts w:ascii="Times New Roman" w:hAnsi="Times New Roman"/>
          <w:bCs/>
          <w:kern w:val="1"/>
          <w:lang w:val="et-EE"/>
        </w:rPr>
        <w:t xml:space="preserve"> ning eelpool viidatud asjaoludest</w:t>
      </w:r>
      <w:r>
        <w:rPr>
          <w:rFonts w:ascii="Times New Roman" w:hAnsi="Times New Roman"/>
          <w:bCs/>
          <w:kern w:val="1"/>
          <w:lang w:val="et-EE"/>
        </w:rPr>
        <w:t xml:space="preserve"> (garantiiperioodi pikkus, kindlustusvõtja surma hetk, pensionimakse suurus, soodustatud isikute arv)</w:t>
      </w:r>
      <w:r w:rsidR="00556966">
        <w:rPr>
          <w:rFonts w:ascii="Times New Roman" w:hAnsi="Times New Roman"/>
          <w:bCs/>
          <w:kern w:val="1"/>
          <w:lang w:val="et-EE"/>
        </w:rPr>
        <w:t xml:space="preserve">, </w:t>
      </w:r>
      <w:r w:rsidR="00010C3F">
        <w:rPr>
          <w:rFonts w:ascii="Times New Roman" w:hAnsi="Times New Roman"/>
          <w:bCs/>
          <w:kern w:val="1"/>
          <w:lang w:val="et-EE"/>
        </w:rPr>
        <w:t>mistõttu on võimalikud erinevad tulemused.</w:t>
      </w:r>
    </w:p>
    <w:p w14:paraId="1E08791C" w14:textId="77777777" w:rsidR="00E771A2" w:rsidRDefault="00E771A2" w:rsidP="00E771A2">
      <w:pPr>
        <w:widowControl w:val="0"/>
        <w:autoSpaceDE w:val="0"/>
        <w:autoSpaceDN w:val="0"/>
        <w:adjustRightInd w:val="0"/>
        <w:jc w:val="both"/>
        <w:rPr>
          <w:rFonts w:ascii="Times New Roman" w:hAnsi="Times New Roman"/>
          <w:bCs/>
          <w:kern w:val="1"/>
          <w:lang w:val="et-EE"/>
        </w:rPr>
      </w:pPr>
    </w:p>
    <w:p w14:paraId="461AF8B2" w14:textId="79177E97" w:rsidR="00E771A2" w:rsidRDefault="00E771A2" w:rsidP="00E771A2">
      <w:pPr>
        <w:widowControl w:val="0"/>
        <w:autoSpaceDE w:val="0"/>
        <w:autoSpaceDN w:val="0"/>
        <w:adjustRightInd w:val="0"/>
        <w:jc w:val="both"/>
        <w:rPr>
          <w:rFonts w:ascii="Times New Roman" w:hAnsi="Times New Roman"/>
          <w:bCs/>
          <w:kern w:val="1"/>
          <w:lang w:val="et-EE"/>
        </w:rPr>
      </w:pPr>
      <w:r w:rsidRPr="00111778">
        <w:rPr>
          <w:rFonts w:ascii="Times New Roman" w:hAnsi="Times New Roman"/>
          <w:b/>
          <w:kern w:val="1"/>
          <w:lang w:val="et-EE"/>
        </w:rPr>
        <w:t>Mõju sagedus</w:t>
      </w:r>
      <w:r>
        <w:rPr>
          <w:rFonts w:ascii="Times New Roman" w:hAnsi="Times New Roman"/>
          <w:bCs/>
          <w:kern w:val="1"/>
          <w:lang w:val="et-EE"/>
        </w:rPr>
        <w:t xml:space="preserve"> </w:t>
      </w:r>
      <w:r w:rsidR="00010C3F">
        <w:rPr>
          <w:rFonts w:ascii="Times New Roman" w:hAnsi="Times New Roman"/>
          <w:bCs/>
          <w:kern w:val="1"/>
          <w:lang w:val="et-EE"/>
        </w:rPr>
        <w:t>on harv. Pensionilepinguid on väga vähe, mistõttu satuvad ka soodustatud isikuks kokkuvõttes vähesed inimesed</w:t>
      </w:r>
      <w:r w:rsidR="0058670A">
        <w:rPr>
          <w:rFonts w:ascii="Times New Roman" w:hAnsi="Times New Roman"/>
          <w:bCs/>
          <w:kern w:val="1"/>
          <w:lang w:val="et-EE"/>
        </w:rPr>
        <w:t xml:space="preserve"> ning </w:t>
      </w:r>
      <w:r w:rsidR="00184119">
        <w:rPr>
          <w:rFonts w:ascii="Times New Roman" w:hAnsi="Times New Roman"/>
          <w:bCs/>
          <w:kern w:val="1"/>
          <w:lang w:val="et-EE"/>
        </w:rPr>
        <w:t>üks isik omakorda satub olema soodustatud isikuks ühes või mõnes pensionilepingus</w:t>
      </w:r>
      <w:r w:rsidR="00010C3F">
        <w:rPr>
          <w:rFonts w:ascii="Times New Roman" w:hAnsi="Times New Roman"/>
          <w:bCs/>
          <w:kern w:val="1"/>
          <w:lang w:val="et-EE"/>
        </w:rPr>
        <w:t xml:space="preserve">. </w:t>
      </w:r>
      <w:r w:rsidR="00184119">
        <w:rPr>
          <w:rFonts w:ascii="Times New Roman" w:hAnsi="Times New Roman"/>
          <w:bCs/>
          <w:kern w:val="1"/>
          <w:lang w:val="et-EE"/>
        </w:rPr>
        <w:t xml:space="preserve">Kuigi vanemas eas isikute puhul ei ole surm niivõrd ebatavaline, eeldab eelnõus esitatud </w:t>
      </w:r>
      <w:r w:rsidR="00010C3F">
        <w:rPr>
          <w:rFonts w:ascii="Times New Roman" w:hAnsi="Times New Roman"/>
          <w:bCs/>
          <w:kern w:val="1"/>
          <w:lang w:val="et-EE"/>
        </w:rPr>
        <w:t>võimaluse kasutamine ka seda, et kindlustusvõtja sureb garantiiperioodi jooksul, mitte ei ela seda üle</w:t>
      </w:r>
      <w:r w:rsidR="00184119">
        <w:rPr>
          <w:rFonts w:ascii="Times New Roman" w:hAnsi="Times New Roman"/>
          <w:bCs/>
          <w:kern w:val="1"/>
          <w:lang w:val="et-EE"/>
        </w:rPr>
        <w:t>, mis juhtumite esinemissagedust veelgi vähendab</w:t>
      </w:r>
      <w:r w:rsidR="00010C3F">
        <w:rPr>
          <w:rFonts w:ascii="Times New Roman" w:hAnsi="Times New Roman"/>
          <w:bCs/>
          <w:kern w:val="1"/>
          <w:lang w:val="et-EE"/>
        </w:rPr>
        <w:t xml:space="preserve">. </w:t>
      </w:r>
    </w:p>
    <w:p w14:paraId="13C3901F" w14:textId="77777777" w:rsidR="00E771A2" w:rsidRDefault="00E771A2" w:rsidP="00E771A2">
      <w:pPr>
        <w:widowControl w:val="0"/>
        <w:autoSpaceDE w:val="0"/>
        <w:autoSpaceDN w:val="0"/>
        <w:adjustRightInd w:val="0"/>
        <w:jc w:val="both"/>
        <w:rPr>
          <w:rFonts w:ascii="Times New Roman" w:hAnsi="Times New Roman"/>
          <w:bCs/>
          <w:kern w:val="1"/>
          <w:lang w:val="et-EE"/>
        </w:rPr>
      </w:pPr>
    </w:p>
    <w:p w14:paraId="507CA55D" w14:textId="77777777" w:rsidR="00E771A2" w:rsidRPr="00215ABE" w:rsidRDefault="00E771A2" w:rsidP="00E771A2">
      <w:pPr>
        <w:widowControl w:val="0"/>
        <w:autoSpaceDE w:val="0"/>
        <w:autoSpaceDN w:val="0"/>
        <w:adjustRightInd w:val="0"/>
        <w:jc w:val="both"/>
        <w:rPr>
          <w:rFonts w:ascii="Times New Roman" w:hAnsi="Times New Roman"/>
          <w:bCs/>
          <w:kern w:val="1"/>
          <w:lang w:val="et-EE"/>
        </w:rPr>
      </w:pPr>
      <w:r w:rsidRPr="00111778">
        <w:rPr>
          <w:rFonts w:ascii="Times New Roman" w:hAnsi="Times New Roman"/>
          <w:b/>
          <w:kern w:val="1"/>
          <w:lang w:val="et-EE"/>
        </w:rPr>
        <w:t>Ebasoovitava mõju risk.</w:t>
      </w:r>
      <w:r>
        <w:rPr>
          <w:rFonts w:ascii="Times New Roman" w:hAnsi="Times New Roman"/>
          <w:bCs/>
          <w:kern w:val="1"/>
          <w:lang w:val="et-EE"/>
        </w:rPr>
        <w:t xml:space="preserve"> Ebasoovitavaid mõjusid ei ole tuvastatud.</w:t>
      </w:r>
    </w:p>
    <w:p w14:paraId="359FFCDA" w14:textId="77777777" w:rsidR="00E771A2" w:rsidRPr="00D349D3" w:rsidRDefault="00E771A2" w:rsidP="00D32BED">
      <w:pPr>
        <w:widowControl w:val="0"/>
        <w:autoSpaceDE w:val="0"/>
        <w:autoSpaceDN w:val="0"/>
        <w:adjustRightInd w:val="0"/>
        <w:jc w:val="both"/>
        <w:rPr>
          <w:rFonts w:ascii="Times New Roman" w:hAnsi="Times New Roman"/>
          <w:bCs/>
          <w:kern w:val="1"/>
          <w:highlight w:val="yellow"/>
          <w:lang w:val="et-EE"/>
        </w:rPr>
      </w:pPr>
    </w:p>
    <w:p w14:paraId="29ADD9B9" w14:textId="7CA2D11F" w:rsidR="00EF0B81" w:rsidRPr="00D32BED" w:rsidRDefault="00EF0B81" w:rsidP="00D32BED">
      <w:pPr>
        <w:jc w:val="both"/>
        <w:rPr>
          <w:rFonts w:ascii="Times New Roman" w:hAnsi="Times New Roman"/>
          <w:b/>
          <w:lang w:val="et-EE"/>
        </w:rPr>
      </w:pPr>
      <w:r w:rsidRPr="00D32BED">
        <w:rPr>
          <w:rFonts w:ascii="Times New Roman" w:hAnsi="Times New Roman"/>
          <w:b/>
          <w:lang w:val="et-EE"/>
        </w:rPr>
        <w:t>6.</w:t>
      </w:r>
      <w:r w:rsidR="00AF7368" w:rsidRPr="00D32BED">
        <w:rPr>
          <w:rFonts w:ascii="Times New Roman" w:hAnsi="Times New Roman"/>
          <w:b/>
          <w:lang w:val="et-EE"/>
        </w:rPr>
        <w:t>5</w:t>
      </w:r>
      <w:r w:rsidRPr="00D32BED">
        <w:rPr>
          <w:rFonts w:ascii="Times New Roman" w:hAnsi="Times New Roman"/>
          <w:b/>
          <w:lang w:val="et-EE"/>
        </w:rPr>
        <w:t>. Muudatuste mõju halduskoormusele</w:t>
      </w:r>
    </w:p>
    <w:p w14:paraId="29F84CF9" w14:textId="4A0AE80D" w:rsidR="002E4324" w:rsidRDefault="002E4324" w:rsidP="00D32BED">
      <w:pPr>
        <w:jc w:val="both"/>
        <w:rPr>
          <w:rFonts w:ascii="Times New Roman" w:hAnsi="Times New Roman"/>
          <w:lang w:val="et-EE"/>
        </w:rPr>
      </w:pPr>
      <w:r>
        <w:rPr>
          <w:rFonts w:ascii="Times New Roman" w:hAnsi="Times New Roman"/>
          <w:lang w:val="et-EE"/>
        </w:rPr>
        <w:t>Päritud II samba vara pärija pensionikontole viimist puudutav muudatus</w:t>
      </w:r>
      <w:r w:rsidR="00AF7368">
        <w:rPr>
          <w:rFonts w:ascii="Times New Roman" w:hAnsi="Times New Roman"/>
          <w:lang w:val="et-EE"/>
        </w:rPr>
        <w:t xml:space="preserve"> (käsitletud ka punktis 6.4)</w:t>
      </w:r>
      <w:r>
        <w:rPr>
          <w:rFonts w:ascii="Times New Roman" w:hAnsi="Times New Roman"/>
          <w:lang w:val="et-EE"/>
        </w:rPr>
        <w:t xml:space="preserve"> vähendab mõnevõrra pärijate halduskoormust.</w:t>
      </w:r>
    </w:p>
    <w:p w14:paraId="0D38E6CB" w14:textId="77777777" w:rsidR="002E4324" w:rsidRDefault="002E4324" w:rsidP="00D32BED">
      <w:pPr>
        <w:jc w:val="both"/>
        <w:rPr>
          <w:rFonts w:ascii="Times New Roman" w:hAnsi="Times New Roman"/>
          <w:lang w:val="et-EE"/>
        </w:rPr>
      </w:pPr>
    </w:p>
    <w:p w14:paraId="53B7212C" w14:textId="0D3D8CB3" w:rsidR="002E4324" w:rsidRDefault="002E4324"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2024. aasta jaanuari seisuga on II samba osakuomanikke umbes 490 000, pensioni investeerimiskontosid on avatud umbes 8 500. Potentsiaalselt on mõjutatud ka II sambaga tulevikus liituvad inimesed.</w:t>
      </w:r>
    </w:p>
    <w:p w14:paraId="338065C2" w14:textId="77777777" w:rsidR="002E4324" w:rsidRDefault="002E4324" w:rsidP="00D32BED">
      <w:pPr>
        <w:widowControl w:val="0"/>
        <w:autoSpaceDE w:val="0"/>
        <w:autoSpaceDN w:val="0"/>
        <w:adjustRightInd w:val="0"/>
        <w:jc w:val="both"/>
        <w:rPr>
          <w:rFonts w:ascii="Times New Roman" w:hAnsi="Times New Roman"/>
          <w:bCs/>
          <w:kern w:val="1"/>
          <w:lang w:val="et-EE"/>
        </w:rPr>
      </w:pPr>
    </w:p>
    <w:p w14:paraId="5FCC95F9" w14:textId="5B7A4850" w:rsidR="002E4324" w:rsidRDefault="002E4324" w:rsidP="00D32BED">
      <w:pPr>
        <w:widowControl w:val="0"/>
        <w:autoSpaceDE w:val="0"/>
        <w:autoSpaceDN w:val="0"/>
        <w:adjustRightInd w:val="0"/>
        <w:jc w:val="both"/>
        <w:rPr>
          <w:noProof/>
        </w:rPr>
      </w:pPr>
      <w:r>
        <w:rPr>
          <w:rFonts w:ascii="Times New Roman" w:hAnsi="Times New Roman"/>
          <w:bCs/>
          <w:kern w:val="1"/>
          <w:lang w:val="et-EE"/>
        </w:rPr>
        <w:t>Joonisel 3 on näha inimeste arvud, kes on perioodil 2007–2022 pärinud II samba vara (vasak skaala)</w:t>
      </w:r>
      <w:r w:rsidR="00AF7368">
        <w:rPr>
          <w:rFonts w:ascii="Times New Roman" w:hAnsi="Times New Roman"/>
          <w:bCs/>
          <w:kern w:val="1"/>
          <w:lang w:val="et-EE"/>
        </w:rPr>
        <w:t xml:space="preserve"> ja esitanud selle kohta pensioniregistri pidajale avalduse</w:t>
      </w:r>
      <w:r>
        <w:rPr>
          <w:rFonts w:ascii="Times New Roman" w:hAnsi="Times New Roman"/>
          <w:bCs/>
          <w:kern w:val="1"/>
          <w:lang w:val="et-EE"/>
        </w:rPr>
        <w:t>. Valdavalt kasutatakse pärimisel raha väljavõtmise võimalust. Viimastel aastatel on nende inimeste hulk mõnevõrra siiski kasvanud, kes on otsustanud päritud II samba vara oma II sambasse võtta.</w:t>
      </w:r>
    </w:p>
    <w:p w14:paraId="46A24AC5" w14:textId="77777777" w:rsidR="002E4324" w:rsidRDefault="002E4324" w:rsidP="00D32BED">
      <w:pPr>
        <w:widowControl w:val="0"/>
        <w:autoSpaceDE w:val="0"/>
        <w:autoSpaceDN w:val="0"/>
        <w:adjustRightInd w:val="0"/>
        <w:jc w:val="both"/>
        <w:rPr>
          <w:noProof/>
        </w:rPr>
      </w:pPr>
    </w:p>
    <w:p w14:paraId="5B1B552F" w14:textId="77777777" w:rsidR="002E4324" w:rsidRDefault="002E4324" w:rsidP="00D32BED">
      <w:pPr>
        <w:widowControl w:val="0"/>
        <w:autoSpaceDE w:val="0"/>
        <w:autoSpaceDN w:val="0"/>
        <w:adjustRightInd w:val="0"/>
        <w:jc w:val="both"/>
        <w:rPr>
          <w:noProof/>
        </w:rPr>
      </w:pPr>
    </w:p>
    <w:p w14:paraId="429FE250" w14:textId="77777777" w:rsidR="002E4324" w:rsidRDefault="002E4324" w:rsidP="00D32BED">
      <w:pPr>
        <w:widowControl w:val="0"/>
        <w:autoSpaceDE w:val="0"/>
        <w:autoSpaceDN w:val="0"/>
        <w:adjustRightInd w:val="0"/>
        <w:jc w:val="both"/>
        <w:rPr>
          <w:noProof/>
        </w:rPr>
      </w:pPr>
    </w:p>
    <w:p w14:paraId="0AB9E2AB" w14:textId="77777777" w:rsidR="002E4324" w:rsidRDefault="002E4324" w:rsidP="00D32BED">
      <w:pPr>
        <w:widowControl w:val="0"/>
        <w:autoSpaceDE w:val="0"/>
        <w:autoSpaceDN w:val="0"/>
        <w:adjustRightInd w:val="0"/>
        <w:jc w:val="both"/>
        <w:rPr>
          <w:noProof/>
        </w:rPr>
      </w:pPr>
      <w:r>
        <w:rPr>
          <w:noProof/>
        </w:rPr>
        <w:drawing>
          <wp:inline distT="0" distB="0" distL="0" distR="0" wp14:anchorId="36A5F9A0" wp14:editId="1866528F">
            <wp:extent cx="5756275" cy="1106805"/>
            <wp:effectExtent l="0" t="0" r="0" b="0"/>
            <wp:docPr id="102941071" name="Pilt 1" descr="Pilt, millel on kujutatud järjekord, Diagramm, kuvatõmmis, teks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41071" name="Pilt 1" descr="Pilt, millel on kujutatud järjekord, Diagramm, kuvatõmmis, tekst&#10;&#10;Kirjeldus on genereeritud automaatselt"/>
                    <pic:cNvPicPr/>
                  </pic:nvPicPr>
                  <pic:blipFill>
                    <a:blip r:embed="rId16"/>
                    <a:stretch>
                      <a:fillRect/>
                    </a:stretch>
                  </pic:blipFill>
                  <pic:spPr>
                    <a:xfrm>
                      <a:off x="0" y="0"/>
                      <a:ext cx="5756275" cy="1106805"/>
                    </a:xfrm>
                    <a:prstGeom prst="rect">
                      <a:avLst/>
                    </a:prstGeom>
                  </pic:spPr>
                </pic:pic>
              </a:graphicData>
            </a:graphic>
          </wp:inline>
        </w:drawing>
      </w:r>
    </w:p>
    <w:p w14:paraId="1839782A" w14:textId="77777777" w:rsidR="002E4324" w:rsidRDefault="002E4324" w:rsidP="00D32BED">
      <w:pPr>
        <w:widowControl w:val="0"/>
        <w:autoSpaceDE w:val="0"/>
        <w:autoSpaceDN w:val="0"/>
        <w:adjustRightInd w:val="0"/>
        <w:jc w:val="both"/>
        <w:rPr>
          <w:rFonts w:ascii="Times New Roman" w:hAnsi="Times New Roman"/>
          <w:bCs/>
          <w:kern w:val="1"/>
          <w:lang w:val="et-EE"/>
        </w:rPr>
      </w:pPr>
      <w:r w:rsidRPr="00C242D4">
        <w:rPr>
          <w:rFonts w:ascii="Times New Roman" w:hAnsi="Times New Roman"/>
          <w:b/>
          <w:kern w:val="1"/>
          <w:lang w:val="et-EE"/>
        </w:rPr>
        <w:t xml:space="preserve">Joonis </w:t>
      </w:r>
      <w:r>
        <w:rPr>
          <w:rFonts w:ascii="Times New Roman" w:hAnsi="Times New Roman"/>
          <w:b/>
          <w:kern w:val="1"/>
          <w:lang w:val="et-EE"/>
        </w:rPr>
        <w:t>3</w:t>
      </w:r>
      <w:r w:rsidRPr="00C242D4">
        <w:rPr>
          <w:rFonts w:ascii="Times New Roman" w:hAnsi="Times New Roman"/>
          <w:b/>
          <w:kern w:val="1"/>
          <w:lang w:val="et-EE"/>
        </w:rPr>
        <w:t>.</w:t>
      </w:r>
      <w:r>
        <w:rPr>
          <w:rFonts w:ascii="Times New Roman" w:hAnsi="Times New Roman"/>
          <w:bCs/>
          <w:kern w:val="1"/>
          <w:lang w:val="et-EE"/>
        </w:rPr>
        <w:t xml:space="preserve"> „II samba pärimised“</w:t>
      </w:r>
    </w:p>
    <w:p w14:paraId="6FC3A604" w14:textId="77777777" w:rsidR="002E4324" w:rsidRPr="00C242D4" w:rsidRDefault="002E4324" w:rsidP="00D32BED">
      <w:pPr>
        <w:widowControl w:val="0"/>
        <w:autoSpaceDE w:val="0"/>
        <w:autoSpaceDN w:val="0"/>
        <w:adjustRightInd w:val="0"/>
        <w:jc w:val="both"/>
        <w:rPr>
          <w:rFonts w:ascii="Times New Roman" w:hAnsi="Times New Roman"/>
          <w:bCs/>
          <w:i/>
          <w:iCs/>
          <w:kern w:val="1"/>
          <w:lang w:val="et-EE"/>
        </w:rPr>
      </w:pPr>
      <w:r w:rsidRPr="00C242D4">
        <w:rPr>
          <w:rFonts w:ascii="Times New Roman" w:hAnsi="Times New Roman"/>
          <w:bCs/>
          <w:i/>
          <w:iCs/>
          <w:kern w:val="1"/>
          <w:lang w:val="et-EE"/>
        </w:rPr>
        <w:t>Allikas: Rahandusministeerium, Pensionikeskus</w:t>
      </w:r>
    </w:p>
    <w:p w14:paraId="3FC4E196" w14:textId="77777777" w:rsidR="002E4324" w:rsidRDefault="002E4324" w:rsidP="00D32BED">
      <w:pPr>
        <w:widowControl w:val="0"/>
        <w:autoSpaceDE w:val="0"/>
        <w:autoSpaceDN w:val="0"/>
        <w:adjustRightInd w:val="0"/>
        <w:jc w:val="both"/>
        <w:rPr>
          <w:rFonts w:ascii="Times New Roman" w:hAnsi="Times New Roman"/>
          <w:b/>
          <w:kern w:val="1"/>
          <w:lang w:val="et-EE"/>
        </w:rPr>
      </w:pPr>
    </w:p>
    <w:p w14:paraId="7F0F1453" w14:textId="6758AD8E" w:rsidR="002E4324" w:rsidRDefault="002E4324" w:rsidP="00D32BED">
      <w:pPr>
        <w:widowControl w:val="0"/>
        <w:autoSpaceDE w:val="0"/>
        <w:autoSpaceDN w:val="0"/>
        <w:adjustRightInd w:val="0"/>
        <w:jc w:val="both"/>
        <w:rPr>
          <w:rFonts w:ascii="Times New Roman" w:hAnsi="Times New Roman"/>
          <w:bCs/>
          <w:kern w:val="1"/>
          <w:lang w:val="et-EE"/>
        </w:rPr>
      </w:pPr>
      <w:r w:rsidRPr="001D0DF4">
        <w:rPr>
          <w:rFonts w:ascii="Times New Roman" w:hAnsi="Times New Roman"/>
          <w:bCs/>
          <w:kern w:val="1"/>
          <w:lang w:val="et-EE"/>
        </w:rPr>
        <w:t xml:space="preserve">Kokku on </w:t>
      </w:r>
      <w:r w:rsidR="00274F48">
        <w:rPr>
          <w:rFonts w:ascii="Times New Roman" w:hAnsi="Times New Roman"/>
          <w:bCs/>
          <w:kern w:val="1"/>
          <w:lang w:val="et-EE"/>
        </w:rPr>
        <w:t>perioodil 2007–</w:t>
      </w:r>
      <w:r>
        <w:rPr>
          <w:rFonts w:ascii="Times New Roman" w:hAnsi="Times New Roman"/>
          <w:bCs/>
          <w:kern w:val="1"/>
          <w:lang w:val="et-EE"/>
        </w:rPr>
        <w:t>2022</w:t>
      </w:r>
      <w:r w:rsidR="00274F48">
        <w:rPr>
          <w:rFonts w:ascii="Times New Roman" w:hAnsi="Times New Roman"/>
          <w:bCs/>
          <w:kern w:val="1"/>
          <w:lang w:val="et-EE"/>
        </w:rPr>
        <w:t xml:space="preserve"> olnud </w:t>
      </w:r>
      <w:r>
        <w:rPr>
          <w:rFonts w:ascii="Times New Roman" w:hAnsi="Times New Roman"/>
          <w:bCs/>
          <w:kern w:val="1"/>
          <w:lang w:val="et-EE"/>
        </w:rPr>
        <w:t>II sambas 17 786 pärimist. Avalduse, et võtta päritud II samba raha oma II sambasse, on teinud neist vaid 1 888 inimest ehk 10,6%. Aastatel 2021 ja 2022 oli see protsent 18,7 ja 17,7.</w:t>
      </w:r>
    </w:p>
    <w:p w14:paraId="008BB662" w14:textId="77777777" w:rsidR="002E4324" w:rsidRDefault="002E4324" w:rsidP="00D32BED">
      <w:pPr>
        <w:widowControl w:val="0"/>
        <w:autoSpaceDE w:val="0"/>
        <w:autoSpaceDN w:val="0"/>
        <w:adjustRightInd w:val="0"/>
        <w:jc w:val="both"/>
        <w:rPr>
          <w:rFonts w:ascii="Times New Roman" w:hAnsi="Times New Roman"/>
          <w:b/>
          <w:kern w:val="1"/>
          <w:lang w:val="et-EE"/>
        </w:rPr>
      </w:pPr>
    </w:p>
    <w:p w14:paraId="74428C6F" w14:textId="60A1737B" w:rsidR="00AF7368" w:rsidRDefault="00AF7368" w:rsidP="00D32BED">
      <w:pPr>
        <w:widowControl w:val="0"/>
        <w:autoSpaceDE w:val="0"/>
        <w:autoSpaceDN w:val="0"/>
        <w:adjustRightInd w:val="0"/>
        <w:jc w:val="both"/>
        <w:rPr>
          <w:rFonts w:ascii="Times New Roman" w:hAnsi="Times New Roman"/>
          <w:color w:val="202020"/>
          <w:lang w:val="et-EE" w:eastAsia="et-EE"/>
        </w:rPr>
      </w:pPr>
      <w:r>
        <w:rPr>
          <w:rFonts w:ascii="Times New Roman" w:hAnsi="Times New Roman"/>
          <w:color w:val="202020"/>
          <w:lang w:val="et-EE" w:eastAsia="et-EE"/>
        </w:rPr>
        <w:t xml:space="preserve">Pärijate jaoks, kes soovivad, et päritud II samba varale vastav summa jõuaks pensionifondi või pensioni investeerimiskontole, mida nad ise II sambas pensioni kogumiseks kasutavad, muutub protsess sujuvamaks, sest kaob vajadus esitada eraldi veel vahetamise avaldust. </w:t>
      </w:r>
    </w:p>
    <w:p w14:paraId="38128293" w14:textId="77777777" w:rsidR="00AF7368" w:rsidRDefault="00AF7368" w:rsidP="00D32BED">
      <w:pPr>
        <w:widowControl w:val="0"/>
        <w:autoSpaceDE w:val="0"/>
        <w:autoSpaceDN w:val="0"/>
        <w:adjustRightInd w:val="0"/>
        <w:jc w:val="both"/>
        <w:rPr>
          <w:rFonts w:ascii="Times New Roman" w:hAnsi="Times New Roman"/>
          <w:color w:val="202020"/>
          <w:lang w:val="et-EE" w:eastAsia="et-EE"/>
        </w:rPr>
      </w:pPr>
    </w:p>
    <w:p w14:paraId="39280BCF" w14:textId="77777777" w:rsidR="00AF7368" w:rsidRDefault="00AF7368" w:rsidP="00D32BED">
      <w:pPr>
        <w:widowControl w:val="0"/>
        <w:autoSpaceDE w:val="0"/>
        <w:autoSpaceDN w:val="0"/>
        <w:adjustRightInd w:val="0"/>
        <w:jc w:val="both"/>
        <w:rPr>
          <w:rFonts w:ascii="Times New Roman" w:hAnsi="Times New Roman"/>
          <w:bCs/>
          <w:kern w:val="1"/>
          <w:lang w:val="et-EE"/>
        </w:rPr>
      </w:pPr>
      <w:r>
        <w:rPr>
          <w:rFonts w:ascii="Times New Roman" w:hAnsi="Times New Roman"/>
          <w:color w:val="202020"/>
          <w:lang w:val="et-EE" w:eastAsia="et-EE"/>
        </w:rPr>
        <w:t xml:space="preserve">Pärija jaoks, kes soovibki just päritud pensionifondi osakuid oma pensionikontole, ei muutu </w:t>
      </w:r>
      <w:r>
        <w:rPr>
          <w:rFonts w:ascii="Times New Roman" w:hAnsi="Times New Roman"/>
          <w:color w:val="202020"/>
          <w:lang w:val="et-EE" w:eastAsia="et-EE"/>
        </w:rPr>
        <w:lastRenderedPageBreak/>
        <w:t>midagi. Samuti ei muutu midagi nende pärijate vaatest, kes otsustavad päritud II samba vara rahas välja võtta.</w:t>
      </w:r>
    </w:p>
    <w:p w14:paraId="6F27C2E5" w14:textId="77777777" w:rsidR="00AF7368" w:rsidRDefault="00AF7368" w:rsidP="00D32BED">
      <w:pPr>
        <w:widowControl w:val="0"/>
        <w:autoSpaceDE w:val="0"/>
        <w:autoSpaceDN w:val="0"/>
        <w:adjustRightInd w:val="0"/>
        <w:jc w:val="both"/>
        <w:rPr>
          <w:rFonts w:ascii="Times New Roman" w:hAnsi="Times New Roman"/>
          <w:b/>
          <w:kern w:val="1"/>
          <w:lang w:val="et-EE"/>
        </w:rPr>
      </w:pPr>
    </w:p>
    <w:p w14:paraId="0AE07564" w14:textId="2EE9A489" w:rsidR="002E4324" w:rsidRPr="00BC5067" w:rsidRDefault="002E4324"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 xml:space="preserve">Arvestades puudutatud isikute arvu, on muudatuse mõju praegu siiski suhteliselt väike. </w:t>
      </w:r>
    </w:p>
    <w:p w14:paraId="1E2908E4" w14:textId="77777777" w:rsidR="00051183" w:rsidRDefault="00051183" w:rsidP="00D32BED">
      <w:pPr>
        <w:widowControl w:val="0"/>
        <w:autoSpaceDE w:val="0"/>
        <w:autoSpaceDN w:val="0"/>
        <w:adjustRightInd w:val="0"/>
        <w:jc w:val="both"/>
        <w:rPr>
          <w:rFonts w:ascii="Times New Roman" w:hAnsi="Times New Roman"/>
          <w:bCs/>
          <w:kern w:val="1"/>
          <w:lang w:val="et-EE"/>
        </w:rPr>
      </w:pPr>
    </w:p>
    <w:p w14:paraId="0AB41C3A" w14:textId="578B609F" w:rsidR="00811DDA" w:rsidRPr="00051183" w:rsidRDefault="00051183" w:rsidP="00D32BED">
      <w:pPr>
        <w:widowControl w:val="0"/>
        <w:autoSpaceDE w:val="0"/>
        <w:autoSpaceDN w:val="0"/>
        <w:adjustRightInd w:val="0"/>
        <w:jc w:val="both"/>
        <w:rPr>
          <w:rFonts w:ascii="Times New Roman" w:hAnsi="Times New Roman"/>
          <w:b/>
          <w:kern w:val="1"/>
          <w:lang w:val="et-EE"/>
        </w:rPr>
      </w:pPr>
      <w:r w:rsidRPr="00051183">
        <w:rPr>
          <w:rFonts w:ascii="Times New Roman" w:hAnsi="Times New Roman"/>
          <w:b/>
          <w:kern w:val="1"/>
          <w:lang w:val="et-EE"/>
        </w:rPr>
        <w:t xml:space="preserve">6.6. Andmekaitse mõjuhinnang muudatustele </w:t>
      </w:r>
    </w:p>
    <w:p w14:paraId="082456A1" w14:textId="28A751A2" w:rsidR="00811DDA" w:rsidRDefault="00051183"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Andmekaitsemääruse GDPR artikli 35 kohaselt tuleb koostada andmekaitse mõjuhinnang, kui</w:t>
      </w:r>
      <w:r w:rsidRPr="00051183">
        <w:rPr>
          <w:rFonts w:ascii="Times New Roman" w:hAnsi="Times New Roman"/>
          <w:bCs/>
          <w:kern w:val="1"/>
          <w:lang w:val="et-EE"/>
        </w:rPr>
        <w:t xml:space="preserve"> andmetöötluse tulemusel võib tõenäoliselt tekkida suur oht</w:t>
      </w:r>
      <w:r>
        <w:rPr>
          <w:rFonts w:ascii="Times New Roman" w:hAnsi="Times New Roman"/>
          <w:bCs/>
          <w:kern w:val="1"/>
          <w:lang w:val="et-EE"/>
        </w:rPr>
        <w:t xml:space="preserve"> </w:t>
      </w:r>
      <w:r w:rsidRPr="00051183">
        <w:rPr>
          <w:rFonts w:ascii="Times New Roman" w:hAnsi="Times New Roman"/>
          <w:bCs/>
          <w:kern w:val="1"/>
          <w:lang w:val="et-EE"/>
        </w:rPr>
        <w:t>isikute õigustele ja vabadustele</w:t>
      </w:r>
      <w:r>
        <w:rPr>
          <w:rFonts w:ascii="Times New Roman" w:hAnsi="Times New Roman"/>
          <w:bCs/>
          <w:kern w:val="1"/>
          <w:lang w:val="et-EE"/>
        </w:rPr>
        <w:t>.</w:t>
      </w:r>
      <w:r w:rsidRPr="00051183">
        <w:rPr>
          <w:rFonts w:ascii="Times New Roman" w:hAnsi="Times New Roman"/>
          <w:bCs/>
          <w:kern w:val="1"/>
          <w:lang w:val="et-EE"/>
        </w:rPr>
        <w:t xml:space="preserve"> </w:t>
      </w:r>
      <w:r>
        <w:rPr>
          <w:rFonts w:ascii="Times New Roman" w:hAnsi="Times New Roman"/>
          <w:bCs/>
          <w:kern w:val="1"/>
          <w:lang w:val="et-EE"/>
        </w:rPr>
        <w:t xml:space="preserve">Eelnõus esitatud muudatused ei mõjuta isikuandmete töötlemise ulatust, konteksti ega eesmärke. Asjaolu, et II samba vara pärimisel lubab eelnõu pensioniregistri pidajale esitataval avaldusel kohe märkida, et pärija soovib raha kohe oma pensionifondi või pensioni investeerimiskontole, kuhu laekuvad tema enda kogumispensioni maksed, viia lasta ei kätke täiendavat ohtu isikute õigustele ja vabadustele. Kehtiva seaduse kohaselt oleks sama tulemuseni jõutud </w:t>
      </w:r>
      <w:r w:rsidR="00285404">
        <w:rPr>
          <w:rFonts w:ascii="Times New Roman" w:hAnsi="Times New Roman"/>
          <w:bCs/>
          <w:kern w:val="1"/>
          <w:lang w:val="et-EE"/>
        </w:rPr>
        <w:t>eraldi pärast veel vahetamise avalduse esitamisega.</w:t>
      </w:r>
      <w:r w:rsidR="00202AF9">
        <w:rPr>
          <w:rFonts w:ascii="Times New Roman" w:hAnsi="Times New Roman"/>
          <w:bCs/>
          <w:kern w:val="1"/>
          <w:lang w:val="et-EE"/>
        </w:rPr>
        <w:t xml:space="preserve"> Rakendatavad privaatsuspõhimõtted ja isikuandmete töötlemise reeglid on kättesaadavad pensioniregistri pidaja veebilehelt</w:t>
      </w:r>
      <w:r w:rsidR="00202AF9">
        <w:rPr>
          <w:rStyle w:val="Allmrkuseviide"/>
          <w:rFonts w:ascii="Times New Roman" w:hAnsi="Times New Roman"/>
          <w:bCs/>
          <w:kern w:val="1"/>
          <w:lang w:val="et-EE"/>
        </w:rPr>
        <w:footnoteReference w:id="2"/>
      </w:r>
      <w:r w:rsidR="00202AF9">
        <w:rPr>
          <w:rFonts w:ascii="Times New Roman" w:hAnsi="Times New Roman"/>
          <w:bCs/>
          <w:kern w:val="1"/>
          <w:lang w:val="et-EE"/>
        </w:rPr>
        <w:t>.</w:t>
      </w:r>
    </w:p>
    <w:p w14:paraId="4BF231E6" w14:textId="77777777" w:rsidR="0011144D" w:rsidRDefault="0011144D" w:rsidP="00D32BED">
      <w:pPr>
        <w:widowControl w:val="0"/>
        <w:autoSpaceDE w:val="0"/>
        <w:autoSpaceDN w:val="0"/>
        <w:adjustRightInd w:val="0"/>
        <w:jc w:val="both"/>
        <w:rPr>
          <w:rFonts w:ascii="Times New Roman" w:hAnsi="Times New Roman"/>
          <w:bCs/>
          <w:kern w:val="1"/>
          <w:lang w:val="et-EE"/>
        </w:rPr>
      </w:pPr>
    </w:p>
    <w:p w14:paraId="72A7803E" w14:textId="77777777" w:rsidR="00AE3C65" w:rsidRPr="00215ABE" w:rsidRDefault="001F1132" w:rsidP="00D32BED">
      <w:pPr>
        <w:widowControl w:val="0"/>
        <w:autoSpaceDE w:val="0"/>
        <w:autoSpaceDN w:val="0"/>
        <w:adjustRightInd w:val="0"/>
        <w:jc w:val="both"/>
        <w:rPr>
          <w:rFonts w:ascii="Times New Roman" w:eastAsia="Hiragino Sans W3" w:hAnsi="Times New Roman"/>
          <w:b/>
          <w:bCs/>
          <w:kern w:val="1"/>
          <w:lang w:val="et-EE"/>
        </w:rPr>
      </w:pPr>
      <w:bookmarkStart w:id="9" w:name="_Hlk165894661"/>
      <w:r w:rsidRPr="001F2B47">
        <w:rPr>
          <w:rFonts w:ascii="Times New Roman" w:eastAsia="Hiragino Sans W3" w:hAnsi="Times New Roman"/>
          <w:b/>
          <w:bCs/>
          <w:kern w:val="1"/>
          <w:lang w:val="et-EE"/>
        </w:rPr>
        <w:t xml:space="preserve">7. </w:t>
      </w:r>
      <w:r w:rsidR="00966B16" w:rsidRPr="001F2B47">
        <w:rPr>
          <w:rFonts w:ascii="Times New Roman" w:eastAsia="Hiragino Sans W3" w:hAnsi="Times New Roman"/>
          <w:b/>
          <w:bCs/>
          <w:kern w:val="1"/>
          <w:lang w:val="et-EE"/>
        </w:rPr>
        <w:t>Seaduse rakendamisega seotud riigi ja kohaliku omavalitsuse tegevused, eeldatavad kulud ja tulud</w:t>
      </w:r>
    </w:p>
    <w:p w14:paraId="04932F3A" w14:textId="57EDD8A4" w:rsidR="00DD224F" w:rsidRPr="005F7465" w:rsidRDefault="005F7465" w:rsidP="00D32BED">
      <w:pPr>
        <w:jc w:val="both"/>
        <w:rPr>
          <w:rFonts w:ascii="Times New Roman" w:hAnsi="Times New Roman"/>
          <w:lang w:val="et-EE" w:eastAsia="ar-SA"/>
        </w:rPr>
      </w:pPr>
      <w:bookmarkStart w:id="10" w:name="_Toc416446860"/>
      <w:r w:rsidRPr="00215ABE">
        <w:rPr>
          <w:rFonts w:ascii="Times New Roman" w:hAnsi="Times New Roman"/>
          <w:lang w:val="et-EE" w:eastAsia="ar-SA"/>
        </w:rPr>
        <w:t xml:space="preserve">Kavandatavad muudatused </w:t>
      </w:r>
      <w:r w:rsidR="00C11358" w:rsidRPr="00215ABE">
        <w:rPr>
          <w:rFonts w:ascii="Times New Roman" w:hAnsi="Times New Roman"/>
          <w:lang w:val="et-EE" w:eastAsia="ar-SA"/>
        </w:rPr>
        <w:t xml:space="preserve">ei </w:t>
      </w:r>
      <w:r w:rsidRPr="00215ABE">
        <w:rPr>
          <w:rFonts w:ascii="Times New Roman" w:hAnsi="Times New Roman"/>
          <w:lang w:val="et-EE" w:eastAsia="ar-SA"/>
        </w:rPr>
        <w:t>avalda mõju riigi</w:t>
      </w:r>
      <w:r w:rsidR="00184119">
        <w:rPr>
          <w:rFonts w:ascii="Times New Roman" w:hAnsi="Times New Roman"/>
          <w:lang w:val="et-EE" w:eastAsia="ar-SA"/>
        </w:rPr>
        <w:t xml:space="preserve"> ega kohalike omavalitsuste</w:t>
      </w:r>
      <w:r w:rsidRPr="00215ABE">
        <w:rPr>
          <w:rFonts w:ascii="Times New Roman" w:hAnsi="Times New Roman"/>
          <w:lang w:val="et-EE" w:eastAsia="ar-SA"/>
        </w:rPr>
        <w:t xml:space="preserve"> tuludele ja kuludele.</w:t>
      </w:r>
      <w:r w:rsidR="00C11358" w:rsidRPr="00215ABE">
        <w:rPr>
          <w:rFonts w:ascii="Times New Roman" w:hAnsi="Times New Roman"/>
          <w:lang w:val="et-EE" w:eastAsia="ar-SA"/>
        </w:rPr>
        <w:t xml:space="preserve"> </w:t>
      </w:r>
    </w:p>
    <w:p w14:paraId="30558EE9" w14:textId="77777777" w:rsidR="005F7465" w:rsidRDefault="005F7465" w:rsidP="00D32BED">
      <w:pPr>
        <w:rPr>
          <w:lang w:val="et-EE" w:eastAsia="ar-SA"/>
        </w:rPr>
      </w:pPr>
    </w:p>
    <w:p w14:paraId="426B8BCA" w14:textId="77777777" w:rsidR="00914972" w:rsidRDefault="00184119" w:rsidP="00184119">
      <w:pPr>
        <w:jc w:val="both"/>
        <w:rPr>
          <w:rFonts w:ascii="Times New Roman" w:hAnsi="Times New Roman"/>
          <w:lang w:val="et-EE" w:eastAsia="ar-SA"/>
        </w:rPr>
      </w:pPr>
      <w:r>
        <w:rPr>
          <w:rFonts w:ascii="Times New Roman" w:hAnsi="Times New Roman"/>
          <w:lang w:val="et-EE" w:eastAsia="ar-SA"/>
        </w:rPr>
        <w:t>Erandiks on muudatus, mis võrdsustab garantiiperioodiga pensionilepingute soodustatud isikute võimalusi II samba pärijate võimalustega ja lubab soodustatud isikul võtta talle pärast pensionilepingu kindlustusvõtja surma väljamaksmisele kuuluva summa oma II sambasse. Kui soodustatud isikul endal on ka pensionileping sõlmitud, siis on tal kehtiva seaduse kohaselt ka juba võimalik valida summa kandmine oma pensionilepingusse. Väljamakse soodustatud isikule on maksustatud tulumaksuga (22% alates 2025), kui raha võetakse aga II sambasse, sõltub selle maksustamine hiljem valitud II samba väljamaksete viisist. Enne pensioniiga sambast lahkumisel tuleb tasuda ikka tavapärases määras tulumaksu, kuid pensionieas on II samba väljamaksed maksustatud soodsamalt</w:t>
      </w:r>
      <w:r w:rsidR="00D8016F">
        <w:rPr>
          <w:rFonts w:ascii="Times New Roman" w:hAnsi="Times New Roman"/>
          <w:lang w:val="et-EE" w:eastAsia="ar-SA"/>
        </w:rPr>
        <w:t xml:space="preserve"> –</w:t>
      </w:r>
      <w:r>
        <w:rPr>
          <w:rFonts w:ascii="Times New Roman" w:hAnsi="Times New Roman"/>
          <w:lang w:val="et-EE" w:eastAsia="ar-SA"/>
        </w:rPr>
        <w:t xml:space="preserve"> </w:t>
      </w:r>
      <w:r w:rsidR="00D8016F">
        <w:rPr>
          <w:rFonts w:ascii="Times New Roman" w:hAnsi="Times New Roman"/>
          <w:lang w:val="et-EE" w:eastAsia="ar-SA"/>
        </w:rPr>
        <w:t>e</w:t>
      </w:r>
      <w:r>
        <w:rPr>
          <w:rFonts w:ascii="Times New Roman" w:hAnsi="Times New Roman"/>
          <w:lang w:val="et-EE" w:eastAsia="ar-SA"/>
        </w:rPr>
        <w:t>luaegne</w:t>
      </w:r>
      <w:r w:rsidR="00D8016F">
        <w:rPr>
          <w:rFonts w:ascii="Times New Roman" w:hAnsi="Times New Roman"/>
          <w:lang w:val="et-EE" w:eastAsia="ar-SA"/>
        </w:rPr>
        <w:t xml:space="preserve"> </w:t>
      </w:r>
      <w:r>
        <w:rPr>
          <w:rFonts w:ascii="Times New Roman" w:hAnsi="Times New Roman"/>
          <w:lang w:val="et-EE" w:eastAsia="ar-SA"/>
        </w:rPr>
        <w:t>pension ja vähemalt keskmiselt elada jäänud aastatele jaotatud tähtajaline pension on tulumaksuvabad, lühemalt tähtajaliselt pensionilt ja ühekordsetelt väljamaksetelt on tulumaks 10%.</w:t>
      </w:r>
      <w:r w:rsidR="00914972">
        <w:rPr>
          <w:rFonts w:ascii="Times New Roman" w:hAnsi="Times New Roman"/>
          <w:lang w:val="et-EE" w:eastAsia="ar-SA"/>
        </w:rPr>
        <w:t xml:space="preserve"> </w:t>
      </w:r>
    </w:p>
    <w:p w14:paraId="3D8AB4C3" w14:textId="77777777" w:rsidR="00914972" w:rsidRDefault="00914972" w:rsidP="00184119">
      <w:pPr>
        <w:jc w:val="both"/>
        <w:rPr>
          <w:rFonts w:ascii="Times New Roman" w:hAnsi="Times New Roman"/>
          <w:lang w:val="et-EE" w:eastAsia="ar-SA"/>
        </w:rPr>
      </w:pPr>
    </w:p>
    <w:p w14:paraId="684620CB" w14:textId="56B7E175" w:rsidR="007505FE" w:rsidRPr="003F7EED" w:rsidRDefault="00914972" w:rsidP="00184119">
      <w:pPr>
        <w:jc w:val="both"/>
        <w:rPr>
          <w:rFonts w:ascii="Times New Roman" w:hAnsi="Times New Roman"/>
          <w:lang w:val="et-EE" w:eastAsia="ar-SA"/>
        </w:rPr>
      </w:pPr>
      <w:r w:rsidRPr="003F7EED">
        <w:rPr>
          <w:rFonts w:ascii="Times New Roman" w:hAnsi="Times New Roman"/>
          <w:lang w:val="et-EE" w:eastAsia="ar-SA"/>
        </w:rPr>
        <w:t>Seega või</w:t>
      </w:r>
      <w:r w:rsidR="007505FE" w:rsidRPr="003F7EED">
        <w:rPr>
          <w:rFonts w:ascii="Times New Roman" w:hAnsi="Times New Roman"/>
          <w:lang w:val="et-EE" w:eastAsia="ar-SA"/>
        </w:rPr>
        <w:t>b</w:t>
      </w:r>
      <w:r w:rsidRPr="003F7EED">
        <w:rPr>
          <w:rFonts w:ascii="Times New Roman" w:hAnsi="Times New Roman"/>
          <w:lang w:val="et-EE" w:eastAsia="ar-SA"/>
        </w:rPr>
        <w:t xml:space="preserve"> kavandatud muudatus avaldada mõningast mõju riigi tuludele</w:t>
      </w:r>
      <w:r w:rsidR="007505FE" w:rsidRPr="003F7EED">
        <w:rPr>
          <w:rFonts w:ascii="Times New Roman" w:hAnsi="Times New Roman"/>
          <w:lang w:val="et-EE" w:eastAsia="ar-SA"/>
        </w:rPr>
        <w:t xml:space="preserve"> (vähendada tarbimismaksude ja tulumaksu laekumist).</w:t>
      </w:r>
      <w:r w:rsidRPr="003F7EED">
        <w:rPr>
          <w:rFonts w:ascii="Times New Roman" w:hAnsi="Times New Roman"/>
          <w:lang w:val="et-EE" w:eastAsia="ar-SA"/>
        </w:rPr>
        <w:t xml:space="preserve"> </w:t>
      </w:r>
      <w:r w:rsidR="007505FE" w:rsidRPr="003F7EED">
        <w:rPr>
          <w:rFonts w:ascii="Times New Roman" w:hAnsi="Times New Roman"/>
          <w:lang w:val="et-EE" w:eastAsia="ar-SA"/>
        </w:rPr>
        <w:t>Mõju suurus sõltub väga mitmest asjaolust (garantiiperioodiga pensionilepingute arv, garantiiperioodide pikkused, kindlustusvõtja surma hetk (enne või pärast garantiiperioodi lõppu), pensionlepingu pensionimaksete suurus) ja soodustatud isikute käitumisest (kas võtta raha oma II sambasse või saada väljamakse).</w:t>
      </w:r>
    </w:p>
    <w:p w14:paraId="2DB0AA34" w14:textId="77777777" w:rsidR="007505FE" w:rsidRPr="003F7EED" w:rsidRDefault="007505FE" w:rsidP="00184119">
      <w:pPr>
        <w:jc w:val="both"/>
        <w:rPr>
          <w:rFonts w:ascii="Times New Roman" w:hAnsi="Times New Roman"/>
          <w:lang w:val="et-EE" w:eastAsia="ar-SA"/>
        </w:rPr>
      </w:pPr>
    </w:p>
    <w:p w14:paraId="01116795" w14:textId="613D827F" w:rsidR="0089643A" w:rsidRPr="003F7EED" w:rsidRDefault="00184119" w:rsidP="00184119">
      <w:pPr>
        <w:jc w:val="both"/>
        <w:rPr>
          <w:rFonts w:ascii="Times New Roman" w:hAnsi="Times New Roman"/>
          <w:lang w:val="et-EE" w:eastAsia="ar-SA"/>
        </w:rPr>
      </w:pPr>
      <w:r w:rsidRPr="003F7EED">
        <w:rPr>
          <w:rFonts w:ascii="Times New Roman" w:hAnsi="Times New Roman"/>
          <w:lang w:val="et-EE" w:eastAsia="ar-SA"/>
        </w:rPr>
        <w:t xml:space="preserve">2023. aasta lõpu seisuga </w:t>
      </w:r>
      <w:r w:rsidR="007505FE" w:rsidRPr="003F7EED">
        <w:rPr>
          <w:rFonts w:ascii="Times New Roman" w:hAnsi="Times New Roman"/>
          <w:lang w:val="et-EE" w:eastAsia="ar-SA"/>
        </w:rPr>
        <w:t xml:space="preserve">oli </w:t>
      </w:r>
      <w:r w:rsidR="00A91C36">
        <w:rPr>
          <w:rFonts w:ascii="Times New Roman" w:hAnsi="Times New Roman"/>
          <w:lang w:val="et-EE" w:eastAsia="ar-SA"/>
        </w:rPr>
        <w:t xml:space="preserve">garantiiperioodiga </w:t>
      </w:r>
      <w:r w:rsidR="007505FE" w:rsidRPr="003F7EED">
        <w:rPr>
          <w:rFonts w:ascii="Times New Roman" w:hAnsi="Times New Roman"/>
          <w:lang w:val="et-EE" w:eastAsia="ar-SA"/>
        </w:rPr>
        <w:t xml:space="preserve">pensionilepinguid </w:t>
      </w:r>
      <w:r w:rsidRPr="003F7EED">
        <w:rPr>
          <w:rFonts w:ascii="Times New Roman" w:hAnsi="Times New Roman"/>
          <w:lang w:val="et-EE" w:eastAsia="ar-SA"/>
        </w:rPr>
        <w:t>3</w:t>
      </w:r>
      <w:r w:rsidR="007505FE" w:rsidRPr="003F7EED">
        <w:rPr>
          <w:rFonts w:ascii="Times New Roman" w:hAnsi="Times New Roman"/>
          <w:lang w:val="et-EE" w:eastAsia="ar-SA"/>
        </w:rPr>
        <w:t> </w:t>
      </w:r>
      <w:r w:rsidR="00A91C36">
        <w:rPr>
          <w:rFonts w:ascii="Times New Roman" w:hAnsi="Times New Roman"/>
          <w:lang w:val="et-EE" w:eastAsia="ar-SA"/>
        </w:rPr>
        <w:t>318</w:t>
      </w:r>
      <w:r w:rsidR="007505FE" w:rsidRPr="003F7EED">
        <w:rPr>
          <w:rFonts w:ascii="Times New Roman" w:hAnsi="Times New Roman"/>
          <w:lang w:val="et-EE" w:eastAsia="ar-SA"/>
        </w:rPr>
        <w:t xml:space="preserve"> ja </w:t>
      </w:r>
      <w:r w:rsidRPr="003F7EED">
        <w:rPr>
          <w:rFonts w:ascii="Times New Roman" w:hAnsi="Times New Roman"/>
          <w:lang w:val="et-EE" w:eastAsia="ar-SA"/>
        </w:rPr>
        <w:t>pensionilepingu</w:t>
      </w:r>
      <w:r w:rsidR="007505FE" w:rsidRPr="003F7EED">
        <w:rPr>
          <w:rFonts w:ascii="Times New Roman" w:hAnsi="Times New Roman"/>
          <w:lang w:val="et-EE" w:eastAsia="ar-SA"/>
        </w:rPr>
        <w:t xml:space="preserve"> keskmine</w:t>
      </w:r>
      <w:r w:rsidRPr="003F7EED">
        <w:rPr>
          <w:rFonts w:ascii="Times New Roman" w:hAnsi="Times New Roman"/>
          <w:lang w:val="et-EE" w:eastAsia="ar-SA"/>
        </w:rPr>
        <w:t xml:space="preserve"> </w:t>
      </w:r>
      <w:r w:rsidR="007505FE" w:rsidRPr="003F7EED">
        <w:rPr>
          <w:rFonts w:ascii="Times New Roman" w:hAnsi="Times New Roman"/>
          <w:lang w:val="et-EE" w:eastAsia="ar-SA"/>
        </w:rPr>
        <w:t xml:space="preserve">pensionimakse </w:t>
      </w:r>
      <w:r w:rsidRPr="003F7EED">
        <w:rPr>
          <w:rFonts w:ascii="Times New Roman" w:hAnsi="Times New Roman"/>
          <w:lang w:val="et-EE" w:eastAsia="ar-SA"/>
        </w:rPr>
        <w:t>u</w:t>
      </w:r>
      <w:r w:rsidR="007505FE" w:rsidRPr="003F7EED">
        <w:rPr>
          <w:rFonts w:ascii="Times New Roman" w:hAnsi="Times New Roman"/>
          <w:lang w:val="et-EE" w:eastAsia="ar-SA"/>
        </w:rPr>
        <w:t>mbes</w:t>
      </w:r>
      <w:r w:rsidRPr="003F7EED">
        <w:rPr>
          <w:rFonts w:ascii="Times New Roman" w:hAnsi="Times New Roman"/>
          <w:lang w:val="et-EE" w:eastAsia="ar-SA"/>
        </w:rPr>
        <w:t xml:space="preserve"> 70 eurot kuus</w:t>
      </w:r>
      <w:r w:rsidR="007505FE" w:rsidRPr="003F7EED">
        <w:rPr>
          <w:rFonts w:ascii="Times New Roman" w:hAnsi="Times New Roman"/>
          <w:lang w:val="et-EE" w:eastAsia="ar-SA"/>
        </w:rPr>
        <w:t>.</w:t>
      </w:r>
      <w:r w:rsidR="004A26E8" w:rsidRPr="003F7EED">
        <w:rPr>
          <w:rFonts w:ascii="Times New Roman" w:hAnsi="Times New Roman"/>
          <w:lang w:val="et-EE" w:eastAsia="ar-SA"/>
        </w:rPr>
        <w:t xml:space="preserve"> Soodustatud isikul tekib õigus väljamaksele ja eelnõu kohaselt ka võimalus valida raha kandmise oma II sambasse, kui garantiiperioodiga pensionilepingu kindlustusvõtja sureb enne lepingus määratud garantiiperioodi lõppu</w:t>
      </w:r>
      <w:r w:rsidR="00B171FA">
        <w:rPr>
          <w:rFonts w:ascii="Times New Roman" w:hAnsi="Times New Roman"/>
          <w:lang w:val="et-EE" w:eastAsia="ar-SA"/>
        </w:rPr>
        <w:t xml:space="preserve"> </w:t>
      </w:r>
      <w:bookmarkStart w:id="11" w:name="_Hlk165966902"/>
      <w:r w:rsidR="00B171FA">
        <w:rPr>
          <w:rFonts w:ascii="Times New Roman" w:hAnsi="Times New Roman"/>
          <w:lang w:val="et-EE" w:eastAsia="ar-SA"/>
        </w:rPr>
        <w:t>(2023. aasta lõpu seisuga oli keskmine lepingus määratud garantiiperioodi pikkus 12,7 aastat vs 21,99 aastat, mis on Statistikaameti andmetel Eesti meeste ja naiste keskmiselt elada jäänud aastateks vanuses 60 ehk II samba pensionieas)</w:t>
      </w:r>
      <w:r w:rsidR="004A26E8" w:rsidRPr="003F7EED">
        <w:rPr>
          <w:rFonts w:ascii="Times New Roman" w:hAnsi="Times New Roman"/>
          <w:lang w:val="et-EE" w:eastAsia="ar-SA"/>
        </w:rPr>
        <w:t>.</w:t>
      </w:r>
      <w:bookmarkEnd w:id="11"/>
      <w:r w:rsidR="004A26E8" w:rsidRPr="003F7EED">
        <w:rPr>
          <w:rFonts w:ascii="Times New Roman" w:hAnsi="Times New Roman"/>
          <w:lang w:val="et-EE" w:eastAsia="ar-SA"/>
        </w:rPr>
        <w:t xml:space="preserve"> Kas tuua päritud pensionivara oma II sambasse või võtta see rahas välja, on valida ka pensionifondi osakute pärijatel. Näiteks 2022. aastal võ</w:t>
      </w:r>
      <w:r w:rsidR="0089643A" w:rsidRPr="003F7EED">
        <w:rPr>
          <w:rFonts w:ascii="Times New Roman" w:hAnsi="Times New Roman"/>
          <w:lang w:val="et-EE" w:eastAsia="ar-SA"/>
        </w:rPr>
        <w:t>eti</w:t>
      </w:r>
      <w:r w:rsidR="004A26E8" w:rsidRPr="003F7EED">
        <w:rPr>
          <w:rFonts w:ascii="Times New Roman" w:hAnsi="Times New Roman"/>
          <w:lang w:val="et-EE" w:eastAsia="ar-SA"/>
        </w:rPr>
        <w:t xml:space="preserve"> päritud pensionifondi osakud oma II sambasse vaid 17,7%</w:t>
      </w:r>
      <w:r w:rsidR="0089643A" w:rsidRPr="003F7EED">
        <w:rPr>
          <w:rFonts w:ascii="Times New Roman" w:hAnsi="Times New Roman"/>
          <w:lang w:val="et-EE" w:eastAsia="ar-SA"/>
        </w:rPr>
        <w:t>-l</w:t>
      </w:r>
      <w:r w:rsidR="004A26E8" w:rsidRPr="003F7EED">
        <w:rPr>
          <w:rFonts w:ascii="Times New Roman" w:hAnsi="Times New Roman"/>
          <w:lang w:val="et-EE" w:eastAsia="ar-SA"/>
        </w:rPr>
        <w:t xml:space="preserve"> </w:t>
      </w:r>
      <w:r w:rsidR="0089643A" w:rsidRPr="003F7EED">
        <w:rPr>
          <w:rFonts w:ascii="Times New Roman" w:hAnsi="Times New Roman"/>
          <w:lang w:val="et-EE" w:eastAsia="ar-SA"/>
        </w:rPr>
        <w:t xml:space="preserve">pärimisjuhtudest. </w:t>
      </w:r>
    </w:p>
    <w:p w14:paraId="306BEF34" w14:textId="77777777" w:rsidR="0089643A" w:rsidRDefault="0089643A" w:rsidP="00184119">
      <w:pPr>
        <w:jc w:val="both"/>
        <w:rPr>
          <w:rFonts w:ascii="Times New Roman" w:hAnsi="Times New Roman"/>
          <w:u w:val="single"/>
          <w:lang w:val="et-EE" w:eastAsia="ar-SA"/>
        </w:rPr>
      </w:pPr>
    </w:p>
    <w:p w14:paraId="2F8C15CA" w14:textId="5EEF5922" w:rsidR="007505FE" w:rsidRDefault="0089643A" w:rsidP="00184119">
      <w:pPr>
        <w:jc w:val="both"/>
        <w:rPr>
          <w:rFonts w:ascii="Times New Roman" w:hAnsi="Times New Roman"/>
          <w:u w:val="single"/>
          <w:lang w:val="et-EE" w:eastAsia="ar-SA"/>
        </w:rPr>
      </w:pPr>
      <w:r>
        <w:rPr>
          <w:rFonts w:ascii="Times New Roman" w:hAnsi="Times New Roman"/>
          <w:u w:val="single"/>
          <w:lang w:val="et-EE" w:eastAsia="ar-SA"/>
        </w:rPr>
        <w:lastRenderedPageBreak/>
        <w:t>Kõike eelnevat arvestades on võimalik mõju maksulaekumisele väike (hinnanguliselt kuni -60-70 tuhat eurot tulumaksule ja tarbimismaksudele kokku) ja sõltub inimeste käitumisest.</w:t>
      </w:r>
    </w:p>
    <w:p w14:paraId="4C713C08" w14:textId="77777777" w:rsidR="004A26E8" w:rsidRDefault="004A26E8" w:rsidP="00184119">
      <w:pPr>
        <w:jc w:val="both"/>
        <w:rPr>
          <w:rFonts w:ascii="Times New Roman" w:hAnsi="Times New Roman"/>
          <w:u w:val="single"/>
          <w:lang w:val="et-EE" w:eastAsia="ar-SA"/>
        </w:rPr>
      </w:pPr>
    </w:p>
    <w:p w14:paraId="6DDA2FCE" w14:textId="0FC43EBF" w:rsidR="00184119" w:rsidRDefault="00184119" w:rsidP="00184119">
      <w:pPr>
        <w:jc w:val="both"/>
        <w:rPr>
          <w:rFonts w:ascii="Times New Roman" w:hAnsi="Times New Roman"/>
          <w:lang w:val="et-EE" w:eastAsia="ar-SA"/>
        </w:rPr>
      </w:pPr>
      <w:r>
        <w:rPr>
          <w:rFonts w:ascii="Times New Roman" w:hAnsi="Times New Roman"/>
          <w:lang w:val="et-EE" w:eastAsia="ar-SA"/>
        </w:rPr>
        <w:t>Kui raha võetakse välja hiljem pensionieas ja kasutades praegu enim levinud varianti ehk ühekordseid väljamakseid, toimuks</w:t>
      </w:r>
      <w:r w:rsidR="00D8016F">
        <w:rPr>
          <w:rFonts w:ascii="Times New Roman" w:hAnsi="Times New Roman"/>
          <w:lang w:val="et-EE" w:eastAsia="ar-SA"/>
        </w:rPr>
        <w:t xml:space="preserve"> siis</w:t>
      </w:r>
      <w:r>
        <w:rPr>
          <w:rFonts w:ascii="Times New Roman" w:hAnsi="Times New Roman"/>
          <w:lang w:val="et-EE" w:eastAsia="ar-SA"/>
        </w:rPr>
        <w:t xml:space="preserve"> vastavalt ka täiendav tulumaksu</w:t>
      </w:r>
      <w:r w:rsidR="0089643A">
        <w:rPr>
          <w:rFonts w:ascii="Times New Roman" w:hAnsi="Times New Roman"/>
          <w:lang w:val="et-EE" w:eastAsia="ar-SA"/>
        </w:rPr>
        <w:t xml:space="preserve"> </w:t>
      </w:r>
      <w:r>
        <w:rPr>
          <w:rFonts w:ascii="Times New Roman" w:hAnsi="Times New Roman"/>
          <w:lang w:val="et-EE" w:eastAsia="ar-SA"/>
        </w:rPr>
        <w:t>laekumine (maksumäär on sel juhul 10%).</w:t>
      </w:r>
      <w:r w:rsidR="0089643A">
        <w:rPr>
          <w:rFonts w:ascii="Times New Roman" w:hAnsi="Times New Roman"/>
          <w:lang w:val="et-EE" w:eastAsia="ar-SA"/>
        </w:rPr>
        <w:t xml:space="preserve"> Samuti võib mõnevõrra suureneda siis tarbimine ja omakorda sellest tingitud maksulaekumine.</w:t>
      </w:r>
      <w:r>
        <w:rPr>
          <w:rFonts w:ascii="Times New Roman" w:hAnsi="Times New Roman"/>
          <w:lang w:val="et-EE" w:eastAsia="ar-SA"/>
        </w:rPr>
        <w:t xml:space="preserve"> </w:t>
      </w:r>
      <w:r w:rsidR="003F7EED">
        <w:rPr>
          <w:rFonts w:ascii="Times New Roman" w:hAnsi="Times New Roman"/>
          <w:lang w:val="et-EE" w:eastAsia="ar-SA"/>
        </w:rPr>
        <w:t xml:space="preserve">Hilisemat laekumist suurendav mõju on samuti väike.   </w:t>
      </w:r>
    </w:p>
    <w:bookmarkEnd w:id="9"/>
    <w:p w14:paraId="56302B2D" w14:textId="77777777" w:rsidR="00184119" w:rsidRPr="00DD224F" w:rsidRDefault="00184119" w:rsidP="00D32BED">
      <w:pPr>
        <w:rPr>
          <w:lang w:val="et-EE" w:eastAsia="ar-SA"/>
        </w:rPr>
      </w:pPr>
    </w:p>
    <w:p w14:paraId="48E0FA8E" w14:textId="77777777" w:rsidR="004070C4" w:rsidRPr="00864EE6" w:rsidRDefault="004070C4" w:rsidP="00D32BED">
      <w:pPr>
        <w:pStyle w:val="Pealkiri2"/>
        <w:keepNext/>
        <w:keepLines/>
        <w:tabs>
          <w:tab w:val="clear" w:pos="576"/>
        </w:tabs>
        <w:suppressAutoHyphens w:val="0"/>
        <w:spacing w:line="240" w:lineRule="auto"/>
        <w:ind w:left="0" w:firstLine="0"/>
        <w:rPr>
          <w:b w:val="0"/>
          <w:color w:val="000000"/>
          <w:sz w:val="24"/>
          <w:szCs w:val="24"/>
        </w:rPr>
      </w:pPr>
      <w:r w:rsidRPr="00864EE6">
        <w:rPr>
          <w:rFonts w:eastAsia="Hiragino Sans W3"/>
          <w:bCs/>
          <w:kern w:val="1"/>
          <w:sz w:val="24"/>
          <w:szCs w:val="24"/>
        </w:rPr>
        <w:t xml:space="preserve">8. </w:t>
      </w:r>
      <w:r w:rsidR="00966B16" w:rsidRPr="00864EE6">
        <w:rPr>
          <w:rFonts w:eastAsia="Hiragino Sans W3"/>
          <w:bCs/>
          <w:kern w:val="1"/>
          <w:sz w:val="24"/>
          <w:szCs w:val="24"/>
        </w:rPr>
        <w:t>Rakendusaktid</w:t>
      </w:r>
      <w:bookmarkEnd w:id="10"/>
    </w:p>
    <w:p w14:paraId="79F8F2AC" w14:textId="77777777" w:rsidR="00864EE6" w:rsidRDefault="00DF757D" w:rsidP="00D32BED">
      <w:pPr>
        <w:widowControl w:val="0"/>
        <w:autoSpaceDE w:val="0"/>
        <w:autoSpaceDN w:val="0"/>
        <w:adjustRightInd w:val="0"/>
        <w:jc w:val="both"/>
        <w:rPr>
          <w:rFonts w:ascii="Times New Roman" w:eastAsia="Hiragino Sans W3" w:hAnsi="Times New Roman"/>
          <w:bCs/>
          <w:kern w:val="1"/>
          <w:lang w:val="et-EE"/>
        </w:rPr>
      </w:pPr>
      <w:r w:rsidRPr="00431E60">
        <w:rPr>
          <w:rFonts w:ascii="Times New Roman" w:eastAsia="Hiragino Sans W3" w:hAnsi="Times New Roman"/>
          <w:bCs/>
          <w:kern w:val="1"/>
          <w:lang w:val="et-EE"/>
        </w:rPr>
        <w:t>Eelnõuga ei anta uusi volitusnorme määruste kehtestamiseks. Samuti ei too see kaasa vajadust muuta olemasolevaid rakendusakte.</w:t>
      </w:r>
      <w:r>
        <w:rPr>
          <w:rFonts w:ascii="Times New Roman" w:eastAsia="Hiragino Sans W3" w:hAnsi="Times New Roman"/>
          <w:bCs/>
          <w:kern w:val="1"/>
          <w:lang w:val="et-EE"/>
        </w:rPr>
        <w:t xml:space="preserve"> </w:t>
      </w:r>
      <w:bookmarkStart w:id="12" w:name="_Toc416446861"/>
    </w:p>
    <w:p w14:paraId="5E82AF90" w14:textId="77777777" w:rsidR="00864EE6" w:rsidRDefault="00864EE6" w:rsidP="00D32BED">
      <w:pPr>
        <w:widowControl w:val="0"/>
        <w:autoSpaceDE w:val="0"/>
        <w:autoSpaceDN w:val="0"/>
        <w:adjustRightInd w:val="0"/>
        <w:jc w:val="both"/>
        <w:rPr>
          <w:rFonts w:ascii="Times New Roman" w:eastAsia="Hiragino Sans W3" w:hAnsi="Times New Roman"/>
          <w:bCs/>
          <w:kern w:val="1"/>
          <w:lang w:val="et-EE"/>
        </w:rPr>
      </w:pPr>
    </w:p>
    <w:p w14:paraId="5696038C" w14:textId="77777777" w:rsidR="004070C4" w:rsidRPr="00864EE6" w:rsidRDefault="004070C4" w:rsidP="00D32BED">
      <w:pPr>
        <w:widowControl w:val="0"/>
        <w:autoSpaceDE w:val="0"/>
        <w:autoSpaceDN w:val="0"/>
        <w:adjustRightInd w:val="0"/>
        <w:jc w:val="both"/>
        <w:rPr>
          <w:rFonts w:ascii="Times New Roman" w:eastAsia="Hiragino Sans W3" w:hAnsi="Times New Roman"/>
          <w:bCs/>
          <w:kern w:val="1"/>
          <w:lang w:val="et-EE"/>
        </w:rPr>
      </w:pPr>
      <w:r w:rsidRPr="00E40D98">
        <w:rPr>
          <w:rFonts w:ascii="Times New Roman" w:eastAsia="Hiragino Sans W3" w:hAnsi="Times New Roman"/>
          <w:b/>
          <w:bCs/>
          <w:kern w:val="1"/>
          <w:lang w:val="et-EE"/>
        </w:rPr>
        <w:t xml:space="preserve">9. </w:t>
      </w:r>
      <w:r w:rsidR="00966B16" w:rsidRPr="00E40D98">
        <w:rPr>
          <w:rFonts w:ascii="Times New Roman" w:eastAsia="Hiragino Sans W3" w:hAnsi="Times New Roman"/>
          <w:b/>
          <w:bCs/>
          <w:kern w:val="1"/>
          <w:lang w:val="et-EE"/>
        </w:rPr>
        <w:t>Seaduse jõustumine </w:t>
      </w:r>
      <w:bookmarkEnd w:id="12"/>
    </w:p>
    <w:p w14:paraId="24ADE4B4" w14:textId="76A7DB7B" w:rsidR="00A62956" w:rsidRDefault="002F231B" w:rsidP="00D32BED">
      <w:pPr>
        <w:jc w:val="both"/>
        <w:rPr>
          <w:rFonts w:ascii="Times New Roman" w:hAnsi="Times New Roman"/>
          <w:lang w:val="et-EE"/>
        </w:rPr>
      </w:pPr>
      <w:r w:rsidRPr="00714B20">
        <w:rPr>
          <w:rFonts w:ascii="Times New Roman" w:hAnsi="Times New Roman"/>
          <w:u w:color="0000FF"/>
          <w:lang w:val="et-EE"/>
        </w:rPr>
        <w:t xml:space="preserve">Eelnõu on planeeritud </w:t>
      </w:r>
      <w:r w:rsidR="004130AE" w:rsidRPr="00714B20">
        <w:rPr>
          <w:rFonts w:ascii="Times New Roman" w:hAnsi="Times New Roman"/>
          <w:u w:color="0000FF"/>
          <w:lang w:val="et-EE"/>
        </w:rPr>
        <w:t xml:space="preserve">jõustuma </w:t>
      </w:r>
      <w:r w:rsidR="00C11358">
        <w:rPr>
          <w:rFonts w:ascii="Times New Roman" w:hAnsi="Times New Roman"/>
          <w:u w:color="0000FF"/>
          <w:lang w:val="et-EE"/>
        </w:rPr>
        <w:t>üldises korras.</w:t>
      </w:r>
      <w:r w:rsidR="000B6FCC">
        <w:rPr>
          <w:rFonts w:ascii="Times New Roman" w:hAnsi="Times New Roman"/>
          <w:u w:color="0000FF"/>
          <w:lang w:val="et-EE"/>
        </w:rPr>
        <w:t xml:space="preserve"> Et valdavalt on tegemist tehnilisemat laadi muudatustega, mis suuri ümberkorraldusi ei eelda, annab jõustumine üldises korras piisava aja vajalikeks eeltöödeks ja normidega </w:t>
      </w:r>
      <w:r w:rsidR="000B6FCC" w:rsidRPr="00F87E97">
        <w:rPr>
          <w:rFonts w:ascii="Times New Roman" w:hAnsi="Times New Roman"/>
          <w:u w:color="0000FF"/>
          <w:lang w:val="et-EE"/>
        </w:rPr>
        <w:t>tutvumiseks.</w:t>
      </w:r>
      <w:r w:rsidR="00C11358" w:rsidRPr="00F87E97">
        <w:rPr>
          <w:rFonts w:ascii="Times New Roman" w:hAnsi="Times New Roman"/>
          <w:u w:color="0000FF"/>
          <w:lang w:val="et-EE"/>
        </w:rPr>
        <w:t xml:space="preserve"> Eelnõu § 1 punktid </w:t>
      </w:r>
      <w:r w:rsidR="00A62956" w:rsidRPr="00F87E97">
        <w:rPr>
          <w:rFonts w:ascii="Times New Roman" w:hAnsi="Times New Roman"/>
          <w:u w:color="0000FF"/>
          <w:lang w:val="et-EE"/>
        </w:rPr>
        <w:t>6 ja 8</w:t>
      </w:r>
      <w:r w:rsidR="00C11358" w:rsidRPr="00F87E97">
        <w:rPr>
          <w:rFonts w:ascii="Times New Roman" w:hAnsi="Times New Roman"/>
          <w:u w:color="0000FF"/>
          <w:lang w:val="et-EE"/>
        </w:rPr>
        <w:t>–</w:t>
      </w:r>
      <w:r w:rsidR="00A62956" w:rsidRPr="00F87E97">
        <w:rPr>
          <w:rFonts w:ascii="Times New Roman" w:hAnsi="Times New Roman"/>
          <w:u w:color="0000FF"/>
          <w:lang w:val="et-EE"/>
        </w:rPr>
        <w:t>22</w:t>
      </w:r>
      <w:r w:rsidR="00C11358" w:rsidRPr="00F87E97">
        <w:rPr>
          <w:rFonts w:ascii="Times New Roman" w:hAnsi="Times New Roman"/>
          <w:u w:color="0000FF"/>
          <w:lang w:val="et-EE"/>
        </w:rPr>
        <w:t>, mis puudutavad II samba vara pärimist,</w:t>
      </w:r>
      <w:r w:rsidR="00A62956" w:rsidRPr="00F87E97">
        <w:rPr>
          <w:rFonts w:ascii="Times New Roman" w:hAnsi="Times New Roman"/>
          <w:u w:color="0000FF"/>
          <w:lang w:val="et-EE"/>
        </w:rPr>
        <w:t xml:space="preserve"> sh II samba pensionilepingute soodustatud isikute võimalusi pärast kindlustusvõtja surma,</w:t>
      </w:r>
      <w:r w:rsidR="00C11358" w:rsidRPr="00F87E97">
        <w:rPr>
          <w:rFonts w:ascii="Times New Roman" w:hAnsi="Times New Roman"/>
          <w:u w:color="0000FF"/>
          <w:lang w:val="et-EE"/>
        </w:rPr>
        <w:t xml:space="preserve"> on kavandatud jõustuma</w:t>
      </w:r>
      <w:r w:rsidR="000B6FCC" w:rsidRPr="00F87E97">
        <w:rPr>
          <w:rFonts w:ascii="Times New Roman" w:hAnsi="Times New Roman"/>
          <w:u w:color="0000FF"/>
          <w:lang w:val="et-EE"/>
        </w:rPr>
        <w:t xml:space="preserve"> hiljem –</w:t>
      </w:r>
      <w:r w:rsidR="00C11358" w:rsidRPr="00F87E97">
        <w:rPr>
          <w:rFonts w:ascii="Times New Roman" w:hAnsi="Times New Roman"/>
          <w:u w:color="0000FF"/>
          <w:lang w:val="et-EE"/>
        </w:rPr>
        <w:t xml:space="preserve"> </w:t>
      </w:r>
      <w:r w:rsidR="004130AE" w:rsidRPr="00F87E97">
        <w:rPr>
          <w:rFonts w:ascii="Times New Roman" w:hAnsi="Times New Roman"/>
          <w:u w:color="0000FF"/>
          <w:lang w:val="et-EE"/>
        </w:rPr>
        <w:t>1. j</w:t>
      </w:r>
      <w:r w:rsidR="00A62956" w:rsidRPr="00F87E97">
        <w:rPr>
          <w:rFonts w:ascii="Times New Roman" w:hAnsi="Times New Roman"/>
          <w:u w:color="0000FF"/>
          <w:lang w:val="et-EE"/>
        </w:rPr>
        <w:t>uun</w:t>
      </w:r>
      <w:r w:rsidR="004130AE" w:rsidRPr="00F87E97">
        <w:rPr>
          <w:rFonts w:ascii="Times New Roman" w:hAnsi="Times New Roman"/>
          <w:u w:color="0000FF"/>
          <w:lang w:val="et-EE"/>
        </w:rPr>
        <w:t>il 202</w:t>
      </w:r>
      <w:r w:rsidR="00C11358" w:rsidRPr="00F87E97">
        <w:rPr>
          <w:rFonts w:ascii="Times New Roman" w:hAnsi="Times New Roman"/>
          <w:u w:color="0000FF"/>
          <w:lang w:val="et-EE"/>
        </w:rPr>
        <w:t>5</w:t>
      </w:r>
      <w:r w:rsidR="00D349D3" w:rsidRPr="00F87E97">
        <w:rPr>
          <w:rFonts w:ascii="Times New Roman" w:hAnsi="Times New Roman"/>
          <w:u w:color="0000FF"/>
          <w:lang w:val="et-EE"/>
        </w:rPr>
        <w:t>.</w:t>
      </w:r>
      <w:r w:rsidR="00D349D3">
        <w:rPr>
          <w:rFonts w:ascii="Times New Roman" w:hAnsi="Times New Roman"/>
          <w:u w:color="0000FF"/>
          <w:lang w:val="et-EE"/>
        </w:rPr>
        <w:t xml:space="preserve"> </w:t>
      </w:r>
      <w:r w:rsidR="00C11358">
        <w:rPr>
          <w:rFonts w:ascii="Times New Roman" w:hAnsi="Times New Roman"/>
          <w:u w:color="0000FF"/>
          <w:lang w:val="et-EE"/>
        </w:rPr>
        <w:t xml:space="preserve">Kõnealuste muudatuste hilisem jõustamine võimaldab pensioniregistri pidajal teha vajalikud arendustööd. </w:t>
      </w:r>
    </w:p>
    <w:p w14:paraId="1114DEA8" w14:textId="77777777" w:rsidR="00A62956" w:rsidRDefault="00A62956" w:rsidP="00D32BED">
      <w:pPr>
        <w:jc w:val="both"/>
        <w:rPr>
          <w:rFonts w:ascii="Times New Roman" w:hAnsi="Times New Roman"/>
          <w:lang w:val="et-EE"/>
        </w:rPr>
      </w:pPr>
    </w:p>
    <w:p w14:paraId="1E88FF5B" w14:textId="77777777" w:rsidR="00E07ECA" w:rsidRPr="005176B6" w:rsidRDefault="005176B6" w:rsidP="00D32BED">
      <w:pPr>
        <w:pBdr>
          <w:bottom w:val="single" w:sz="12" w:space="1" w:color="auto"/>
        </w:pBdr>
        <w:tabs>
          <w:tab w:val="left" w:pos="426"/>
        </w:tabs>
        <w:jc w:val="both"/>
        <w:rPr>
          <w:rFonts w:ascii="Times New Roman" w:hAnsi="Times New Roman"/>
          <w:b/>
          <w:lang w:val="et-EE"/>
        </w:rPr>
      </w:pPr>
      <w:r w:rsidRPr="005176B6">
        <w:rPr>
          <w:rFonts w:ascii="Times New Roman" w:hAnsi="Times New Roman"/>
          <w:b/>
          <w:lang w:val="et-EE"/>
        </w:rPr>
        <w:t xml:space="preserve">10. </w:t>
      </w:r>
      <w:r>
        <w:rPr>
          <w:rFonts w:ascii="Times New Roman" w:hAnsi="Times New Roman"/>
          <w:b/>
          <w:lang w:val="et-EE"/>
        </w:rPr>
        <w:t>Eelnõu k</w:t>
      </w:r>
      <w:r w:rsidRPr="005176B6">
        <w:rPr>
          <w:rFonts w:ascii="Times New Roman" w:hAnsi="Times New Roman"/>
          <w:b/>
          <w:lang w:val="et-EE"/>
        </w:rPr>
        <w:t>ooskõlastamine</w:t>
      </w:r>
      <w:r w:rsidR="00632C05">
        <w:rPr>
          <w:rFonts w:ascii="Times New Roman" w:hAnsi="Times New Roman"/>
          <w:b/>
          <w:lang w:val="et-EE"/>
        </w:rPr>
        <w:t xml:space="preserve"> ja huvirühmade kaasamine</w:t>
      </w:r>
    </w:p>
    <w:p w14:paraId="130EC6DA" w14:textId="632B30BD" w:rsidR="00F61EAF" w:rsidRPr="004305AB" w:rsidRDefault="002F231B" w:rsidP="00D32BED">
      <w:pPr>
        <w:pBdr>
          <w:bottom w:val="single" w:sz="12" w:space="1" w:color="auto"/>
        </w:pBdr>
        <w:tabs>
          <w:tab w:val="left" w:pos="426"/>
        </w:tabs>
        <w:jc w:val="both"/>
      </w:pPr>
      <w:r>
        <w:rPr>
          <w:rFonts w:ascii="Times New Roman" w:hAnsi="Times New Roman"/>
          <w:lang w:val="et-EE"/>
        </w:rPr>
        <w:t xml:space="preserve">Eelnõu </w:t>
      </w:r>
      <w:r w:rsidR="00F61EAF">
        <w:rPr>
          <w:rFonts w:ascii="Times New Roman" w:hAnsi="Times New Roman"/>
          <w:lang w:val="et-EE"/>
        </w:rPr>
        <w:t>esitat</w:t>
      </w:r>
      <w:r w:rsidR="000B6FCC">
        <w:rPr>
          <w:rFonts w:ascii="Times New Roman" w:hAnsi="Times New Roman"/>
          <w:lang w:val="et-EE"/>
        </w:rPr>
        <w:t>i</w:t>
      </w:r>
      <w:r w:rsidR="00F61EAF">
        <w:rPr>
          <w:rFonts w:ascii="Times New Roman" w:hAnsi="Times New Roman"/>
          <w:lang w:val="et-EE"/>
        </w:rPr>
        <w:t xml:space="preserve"> </w:t>
      </w:r>
      <w:r w:rsidR="005713A8">
        <w:rPr>
          <w:rFonts w:ascii="Times New Roman" w:hAnsi="Times New Roman"/>
          <w:lang w:val="et-EE"/>
        </w:rPr>
        <w:t>kooskõlasta</w:t>
      </w:r>
      <w:r w:rsidR="00F61EAF">
        <w:rPr>
          <w:rFonts w:ascii="Times New Roman" w:hAnsi="Times New Roman"/>
          <w:lang w:val="et-EE"/>
        </w:rPr>
        <w:t xml:space="preserve">miseks </w:t>
      </w:r>
      <w:r w:rsidR="0008592D">
        <w:rPr>
          <w:rFonts w:ascii="Times New Roman" w:hAnsi="Times New Roman"/>
          <w:lang w:val="et-EE"/>
        </w:rPr>
        <w:t xml:space="preserve">ministeeriumidele, </w:t>
      </w:r>
      <w:r>
        <w:rPr>
          <w:rFonts w:ascii="Times New Roman" w:hAnsi="Times New Roman"/>
          <w:lang w:val="et-EE"/>
        </w:rPr>
        <w:t>Finantsinspektsiooni</w:t>
      </w:r>
      <w:r w:rsidR="00F61EAF">
        <w:rPr>
          <w:rFonts w:ascii="Times New Roman" w:hAnsi="Times New Roman"/>
          <w:lang w:val="et-EE"/>
        </w:rPr>
        <w:t>le</w:t>
      </w:r>
      <w:r w:rsidR="0008592D">
        <w:rPr>
          <w:rFonts w:ascii="Times New Roman" w:hAnsi="Times New Roman"/>
          <w:lang w:val="et-EE"/>
        </w:rPr>
        <w:t xml:space="preserve"> ja Eesti Pangale</w:t>
      </w:r>
      <w:r>
        <w:rPr>
          <w:rFonts w:ascii="Times New Roman" w:hAnsi="Times New Roman"/>
          <w:lang w:val="et-EE"/>
        </w:rPr>
        <w:t xml:space="preserve"> ning </w:t>
      </w:r>
      <w:r w:rsidR="005713A8">
        <w:rPr>
          <w:rFonts w:ascii="Times New Roman" w:hAnsi="Times New Roman"/>
          <w:lang w:val="et-EE"/>
        </w:rPr>
        <w:t>selle suhtes küsit</w:t>
      </w:r>
      <w:r w:rsidR="000B6FCC">
        <w:rPr>
          <w:rFonts w:ascii="Times New Roman" w:hAnsi="Times New Roman"/>
          <w:lang w:val="et-EE"/>
        </w:rPr>
        <w:t>i</w:t>
      </w:r>
      <w:r w:rsidR="005713A8">
        <w:rPr>
          <w:rFonts w:ascii="Times New Roman" w:hAnsi="Times New Roman"/>
          <w:lang w:val="et-EE"/>
        </w:rPr>
        <w:t xml:space="preserve"> </w:t>
      </w:r>
      <w:r>
        <w:rPr>
          <w:rFonts w:ascii="Times New Roman" w:hAnsi="Times New Roman"/>
          <w:lang w:val="et-EE"/>
        </w:rPr>
        <w:t>arvamus</w:t>
      </w:r>
      <w:r w:rsidR="005713A8">
        <w:rPr>
          <w:rFonts w:ascii="Times New Roman" w:hAnsi="Times New Roman"/>
          <w:lang w:val="et-EE"/>
        </w:rPr>
        <w:t>t</w:t>
      </w:r>
      <w:r>
        <w:rPr>
          <w:rFonts w:ascii="Times New Roman" w:hAnsi="Times New Roman"/>
          <w:lang w:val="et-EE"/>
        </w:rPr>
        <w:t xml:space="preserve"> </w:t>
      </w:r>
      <w:r w:rsidR="00C11358">
        <w:rPr>
          <w:rFonts w:ascii="Times New Roman" w:hAnsi="Times New Roman"/>
          <w:lang w:val="et-EE"/>
        </w:rPr>
        <w:t xml:space="preserve">AS-lt </w:t>
      </w:r>
      <w:r w:rsidR="00463FC4">
        <w:rPr>
          <w:rFonts w:ascii="Times New Roman" w:hAnsi="Times New Roman"/>
          <w:lang w:val="et-EE"/>
        </w:rPr>
        <w:t>Pensionikeskus</w:t>
      </w:r>
      <w:r w:rsidR="00F43AB7">
        <w:rPr>
          <w:rFonts w:ascii="Times New Roman" w:hAnsi="Times New Roman"/>
          <w:lang w:val="et-EE"/>
        </w:rPr>
        <w:t>,</w:t>
      </w:r>
      <w:r>
        <w:rPr>
          <w:rFonts w:ascii="Times New Roman" w:hAnsi="Times New Roman"/>
          <w:lang w:val="et-EE"/>
        </w:rPr>
        <w:t xml:space="preserve"> </w:t>
      </w:r>
      <w:r w:rsidR="00F43AB7">
        <w:rPr>
          <w:rFonts w:ascii="Times New Roman" w:hAnsi="Times New Roman"/>
          <w:lang w:val="et-EE"/>
        </w:rPr>
        <w:t>E</w:t>
      </w:r>
      <w:r w:rsidR="0008592D" w:rsidRPr="0008592D">
        <w:rPr>
          <w:rFonts w:ascii="Times New Roman" w:hAnsi="Times New Roman"/>
          <w:lang w:val="et-EE"/>
        </w:rPr>
        <w:t>esti Pangalii</w:t>
      </w:r>
      <w:r w:rsidR="00F43AB7">
        <w:rPr>
          <w:rFonts w:ascii="Times New Roman" w:hAnsi="Times New Roman"/>
          <w:lang w:val="et-EE"/>
        </w:rPr>
        <w:t>dult</w:t>
      </w:r>
      <w:r w:rsidR="0008592D" w:rsidRPr="0008592D">
        <w:rPr>
          <w:rFonts w:ascii="Times New Roman" w:hAnsi="Times New Roman"/>
          <w:lang w:val="et-EE"/>
        </w:rPr>
        <w:t xml:space="preserve">, </w:t>
      </w:r>
      <w:r w:rsidR="00D349D3" w:rsidRPr="00C11358">
        <w:rPr>
          <w:rFonts w:ascii="Times New Roman" w:hAnsi="Times New Roman"/>
          <w:lang w:val="et-EE"/>
        </w:rPr>
        <w:t xml:space="preserve">FinanceEstonialt </w:t>
      </w:r>
      <w:r w:rsidR="00D349D3" w:rsidRPr="00215ABE">
        <w:rPr>
          <w:rFonts w:ascii="Times New Roman" w:hAnsi="Times New Roman"/>
          <w:lang w:val="et-EE"/>
        </w:rPr>
        <w:t xml:space="preserve">ja </w:t>
      </w:r>
      <w:r w:rsidR="0008592D" w:rsidRPr="00215ABE">
        <w:rPr>
          <w:rFonts w:ascii="Times New Roman" w:hAnsi="Times New Roman"/>
          <w:lang w:val="et-EE"/>
        </w:rPr>
        <w:t>Eesti Kindlustusseltside Liidul</w:t>
      </w:r>
      <w:r w:rsidR="00F43AB7" w:rsidRPr="00215ABE">
        <w:rPr>
          <w:rFonts w:ascii="Times New Roman" w:hAnsi="Times New Roman"/>
          <w:lang w:val="et-EE"/>
        </w:rPr>
        <w:t>t</w:t>
      </w:r>
      <w:r w:rsidR="0008592D" w:rsidRPr="00C11358">
        <w:rPr>
          <w:rFonts w:ascii="Times New Roman" w:hAnsi="Times New Roman"/>
          <w:lang w:val="et-EE"/>
        </w:rPr>
        <w:t>.</w:t>
      </w:r>
      <w:r w:rsidR="00661748">
        <w:rPr>
          <w:rFonts w:ascii="Times New Roman" w:hAnsi="Times New Roman"/>
          <w:lang w:val="et-EE"/>
        </w:rPr>
        <w:t xml:space="preserve"> Esitatud märkustega arvestamise kohta leiab ülevaate seletuskirja lisas olevast märkuste tabelist.</w:t>
      </w:r>
      <w:r w:rsidR="000B6FCC">
        <w:rPr>
          <w:rFonts w:ascii="Times New Roman" w:hAnsi="Times New Roman"/>
          <w:lang w:val="et-EE"/>
        </w:rPr>
        <w:t xml:space="preserve"> </w:t>
      </w:r>
    </w:p>
    <w:p w14:paraId="1E0B829D" w14:textId="7D7D1ADA" w:rsidR="005176B6" w:rsidRDefault="005176B6" w:rsidP="00D32BED">
      <w:pPr>
        <w:autoSpaceDE w:val="0"/>
        <w:autoSpaceDN w:val="0"/>
        <w:adjustRightInd w:val="0"/>
        <w:rPr>
          <w:rFonts w:ascii="Times New Roman" w:hAnsi="Times New Roman"/>
          <w:color w:val="000000"/>
          <w:lang w:val="et-EE"/>
        </w:rPr>
      </w:pPr>
      <w:r w:rsidRPr="00FB3387">
        <w:rPr>
          <w:rFonts w:ascii="Times New Roman" w:hAnsi="Times New Roman"/>
          <w:color w:val="000000"/>
          <w:lang w:val="et-EE"/>
        </w:rPr>
        <w:t>Algatab</w:t>
      </w:r>
      <w:r w:rsidR="00B719CD">
        <w:rPr>
          <w:rFonts w:ascii="Times New Roman" w:hAnsi="Times New Roman"/>
          <w:color w:val="000000"/>
          <w:lang w:val="et-EE"/>
        </w:rPr>
        <w:t xml:space="preserve"> Vabariigi Valitsus ……………………202</w:t>
      </w:r>
      <w:r w:rsidR="00431E60">
        <w:rPr>
          <w:rFonts w:ascii="Times New Roman" w:hAnsi="Times New Roman"/>
          <w:color w:val="000000"/>
          <w:lang w:val="et-EE"/>
        </w:rPr>
        <w:t>4</w:t>
      </w:r>
    </w:p>
    <w:p w14:paraId="19BC2D86" w14:textId="77777777" w:rsidR="004305AB" w:rsidRDefault="004305AB" w:rsidP="00D32BED">
      <w:pPr>
        <w:rPr>
          <w:rFonts w:ascii="Times New Roman" w:hAnsi="Times New Roman"/>
          <w:lang w:val="et-EE"/>
        </w:rPr>
      </w:pPr>
    </w:p>
    <w:p w14:paraId="3A9E93FB" w14:textId="76BBB282" w:rsidR="005176B6" w:rsidRPr="006628F5" w:rsidRDefault="005176B6" w:rsidP="00D32BED">
      <w:pPr>
        <w:rPr>
          <w:rFonts w:ascii="Times New Roman" w:hAnsi="Times New Roman"/>
          <w:b/>
          <w:lang w:val="et-EE"/>
        </w:rPr>
      </w:pPr>
      <w:r w:rsidRPr="00FB3387">
        <w:rPr>
          <w:rFonts w:ascii="Times New Roman" w:hAnsi="Times New Roman"/>
          <w:lang w:val="et-EE"/>
        </w:rPr>
        <w:t>(allkirjastatud digitaalselt)</w:t>
      </w:r>
    </w:p>
    <w:sectPr w:rsidR="005176B6" w:rsidRPr="006628F5" w:rsidSect="0040500F">
      <w:footerReference w:type="default" r:id="rId17"/>
      <w:footerReference w:type="first" r:id="rId18"/>
      <w:pgSz w:w="11900" w:h="16840"/>
      <w:pgMar w:top="1134" w:right="1134" w:bottom="1134" w:left="1701" w:header="708" w:footer="708" w:gutter="0"/>
      <w:cols w:space="708"/>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el Kook" w:date="2024-06-04T12:54:00Z" w:initials="JK">
    <w:p w14:paraId="003BEA91" w14:textId="77777777" w:rsidR="00512E54" w:rsidRDefault="00512E54" w:rsidP="00EB766E">
      <w:pPr>
        <w:pStyle w:val="Kommentaaritekst"/>
      </w:pPr>
      <w:r>
        <w:rPr>
          <w:rStyle w:val="Kommentaariviide"/>
        </w:rPr>
        <w:annotationRef/>
      </w:r>
      <w:r>
        <w:t xml:space="preserve">Seda punkti võiks võimalusel sõnastuslikult lühendada/lihtsustada ilma, et mõte kaduma läheks, u nii: </w:t>
      </w:r>
      <w:r>
        <w:rPr>
          <w:i/>
          <w:iCs/>
        </w:rPr>
        <w:t>pensioni investeerimiskonto sulgemise eesmärgil võimaldatakse edaspidi pensioni investeerimiskontoga seotud väärtpaberikontolt võõrandamiskõlbmatuks osutunud väärtpaberid ümber registreerida tavalisele väärtpaberikontole.</w:t>
      </w:r>
    </w:p>
  </w:comment>
  <w:comment w:id="1" w:author="Joel Kook" w:date="2024-06-04T13:01:00Z" w:initials="JK">
    <w:p w14:paraId="66CAA385" w14:textId="77777777" w:rsidR="00512E54" w:rsidRDefault="00512E54" w:rsidP="00B837C5">
      <w:pPr>
        <w:pStyle w:val="Kommentaaritekst"/>
      </w:pPr>
      <w:r>
        <w:rPr>
          <w:rStyle w:val="Kommentaariviide"/>
        </w:rPr>
        <w:annotationRef/>
      </w:r>
      <w:r>
        <w:t>Eelnõu eelmise versiooniga võrreldes on tehtud mõningaid muudatusi. Võibolla on vajalik märkida vähemasti, millistel kaalutlustel on eelnõu eelmises versioonis tooduga võrreldes nüüdseks loobutud pensionifondi investeerimispiirangute paindlikumaks muutmisest - nt kas see tulenes kooskõlastamise käigus laekunud tagasisidest või muudest asjaoludest.</w:t>
      </w:r>
    </w:p>
  </w:comment>
  <w:comment w:id="2" w:author="Iivika Sale" w:date="2024-06-05T15:11:00Z" w:initials="IS">
    <w:p w14:paraId="285B3810" w14:textId="77777777" w:rsidR="009F522D" w:rsidRDefault="00760D04" w:rsidP="0042483C">
      <w:pPr>
        <w:pStyle w:val="Kommentaaritekst"/>
      </w:pPr>
      <w:r>
        <w:rPr>
          <w:rStyle w:val="Kommentaariviide"/>
        </w:rPr>
        <w:annotationRef/>
      </w:r>
      <w:r w:rsidR="009F522D">
        <w:t>Kas eelnõu ei ole seotud Riigikogu menetluses oleva seaduseelnõuga 422SE, millele on viidatud ka märkuste tabelis?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3BEA91" w15:done="0"/>
  <w15:commentEx w15:paraId="66CAA385" w15:done="0"/>
  <w15:commentEx w15:paraId="285B38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98D0E" w16cex:dateUtc="2024-06-04T09:54:00Z"/>
  <w16cex:commentExtensible w16cex:durableId="2A098E8C" w16cex:dateUtc="2024-06-04T10:01:00Z"/>
  <w16cex:commentExtensible w16cex:durableId="2A0AFEB4" w16cex:dateUtc="2024-06-05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3BEA91" w16cid:durableId="2A098D0E"/>
  <w16cid:commentId w16cid:paraId="66CAA385" w16cid:durableId="2A098E8C"/>
  <w16cid:commentId w16cid:paraId="285B3810" w16cid:durableId="2A0AFE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0357F" w14:textId="77777777" w:rsidR="00E924FF" w:rsidRDefault="00E924FF" w:rsidP="00927A8A">
      <w:r>
        <w:separator/>
      </w:r>
    </w:p>
  </w:endnote>
  <w:endnote w:type="continuationSeparator" w:id="0">
    <w:p w14:paraId="6C46B422" w14:textId="77777777" w:rsidR="00E924FF" w:rsidRDefault="00E924FF" w:rsidP="0092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iragino Sans W3">
    <w:altName w:val="MS Gothic"/>
    <w:panose1 w:val="00000000000000000000"/>
    <w:charset w:val="80"/>
    <w:family w:val="swiss"/>
    <w:notTrueType/>
    <w:pitch w:val="variable"/>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588220"/>
      <w:docPartObj>
        <w:docPartGallery w:val="Page Numbers (Bottom of Page)"/>
        <w:docPartUnique/>
      </w:docPartObj>
    </w:sdtPr>
    <w:sdtEndPr/>
    <w:sdtContent>
      <w:p w14:paraId="17C96589" w14:textId="1E3E8391" w:rsidR="007E44C8" w:rsidRDefault="007E44C8">
        <w:pPr>
          <w:pStyle w:val="Jalus"/>
          <w:jc w:val="center"/>
        </w:pPr>
        <w:r>
          <w:fldChar w:fldCharType="begin"/>
        </w:r>
        <w:r>
          <w:instrText>PAGE   \* MERGEFORMAT</w:instrText>
        </w:r>
        <w:r>
          <w:fldChar w:fldCharType="separate"/>
        </w:r>
        <w:r w:rsidR="00071CC3" w:rsidRPr="00071CC3">
          <w:rPr>
            <w:noProof/>
            <w:lang w:val="et-EE"/>
          </w:rPr>
          <w:t>19</w:t>
        </w:r>
        <w:r>
          <w:fldChar w:fldCharType="end"/>
        </w:r>
      </w:p>
    </w:sdtContent>
  </w:sdt>
  <w:p w14:paraId="7831D4D4" w14:textId="77777777" w:rsidR="00E924FF" w:rsidRPr="006628F5" w:rsidRDefault="00E924FF">
    <w:pPr>
      <w:pStyle w:val="Jalus"/>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4DD8" w14:textId="77777777" w:rsidR="00E924FF" w:rsidRDefault="00E924FF">
    <w:pPr>
      <w:pStyle w:val="Jalus"/>
      <w:jc w:val="center"/>
    </w:pPr>
  </w:p>
  <w:p w14:paraId="57513C52" w14:textId="77777777" w:rsidR="00E924FF" w:rsidRDefault="00E924F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CB439" w14:textId="77777777" w:rsidR="00E924FF" w:rsidRDefault="00E924FF" w:rsidP="00927A8A">
      <w:r>
        <w:separator/>
      </w:r>
    </w:p>
  </w:footnote>
  <w:footnote w:type="continuationSeparator" w:id="0">
    <w:p w14:paraId="413C4402" w14:textId="77777777" w:rsidR="00E924FF" w:rsidRDefault="00E924FF" w:rsidP="00927A8A">
      <w:r>
        <w:continuationSeparator/>
      </w:r>
    </w:p>
  </w:footnote>
  <w:footnote w:id="1">
    <w:p w14:paraId="0E0CF232" w14:textId="5FA425CF" w:rsidR="00CB1723" w:rsidRPr="00CB1723" w:rsidRDefault="00CB1723" w:rsidP="00CB1723">
      <w:pPr>
        <w:jc w:val="both"/>
        <w:rPr>
          <w:rFonts w:ascii="Times New Roman" w:hAnsi="Times New Roman"/>
          <w:sz w:val="20"/>
          <w:szCs w:val="20"/>
          <w:lang w:val="et-EE"/>
        </w:rPr>
      </w:pPr>
      <w:r w:rsidRPr="00CB1723">
        <w:rPr>
          <w:rStyle w:val="Allmrkuseviide"/>
          <w:rFonts w:ascii="Times New Roman" w:hAnsi="Times New Roman"/>
          <w:b w:val="0"/>
          <w:bCs/>
          <w:sz w:val="20"/>
          <w:szCs w:val="20"/>
        </w:rPr>
        <w:footnoteRef/>
      </w:r>
      <w:r w:rsidRPr="00CB1723">
        <w:rPr>
          <w:rFonts w:ascii="Times New Roman" w:hAnsi="Times New Roman"/>
          <w:b/>
          <w:bCs/>
          <w:sz w:val="20"/>
          <w:szCs w:val="20"/>
        </w:rPr>
        <w:t xml:space="preserve"> </w:t>
      </w:r>
      <w:r w:rsidRPr="00CB1723">
        <w:rPr>
          <w:rFonts w:ascii="Times New Roman" w:hAnsi="Times New Roman"/>
          <w:sz w:val="20"/>
          <w:szCs w:val="20"/>
          <w:lang w:val="et-EE"/>
        </w:rPr>
        <w:t>Väärismetallideks peetakse üldjuhul kulda, hõbedat, palladiumit ja plaatina. Ka väärismetalltoodete seadus sätestab, et väärismetall on puhas kuld, hõbe, plaatina ja pallaadium ning nende sulamid. Kuld on nendest ülekaalukalt kõige levinum investeerimisobjekt</w:t>
      </w:r>
      <w:r>
        <w:rPr>
          <w:rFonts w:ascii="Times New Roman" w:hAnsi="Times New Roman"/>
          <w:sz w:val="20"/>
          <w:szCs w:val="20"/>
          <w:lang w:val="et-EE"/>
        </w:rPr>
        <w:t>.</w:t>
      </w:r>
    </w:p>
    <w:p w14:paraId="568EB0D6" w14:textId="21B41C77" w:rsidR="00CB1723" w:rsidRPr="00CB1723" w:rsidRDefault="00CB1723">
      <w:pPr>
        <w:pStyle w:val="Allmrkusetekst"/>
        <w:rPr>
          <w:lang w:val="et-EE"/>
        </w:rPr>
      </w:pPr>
    </w:p>
  </w:footnote>
  <w:footnote w:id="2">
    <w:p w14:paraId="318B65BE" w14:textId="04FD03BD" w:rsidR="00202AF9" w:rsidRPr="0011144D" w:rsidRDefault="00202AF9">
      <w:pPr>
        <w:pStyle w:val="Allmrkusetekst"/>
        <w:rPr>
          <w:rFonts w:ascii="Times New Roman" w:hAnsi="Times New Roman"/>
          <w:lang w:val="et-EE"/>
        </w:rPr>
      </w:pPr>
      <w:r w:rsidRPr="0011144D">
        <w:rPr>
          <w:rStyle w:val="Allmrkuseviide"/>
          <w:rFonts w:ascii="Times New Roman" w:hAnsi="Times New Roman"/>
        </w:rPr>
        <w:footnoteRef/>
      </w:r>
      <w:r w:rsidRPr="0011144D">
        <w:rPr>
          <w:rFonts w:ascii="Times New Roman" w:hAnsi="Times New Roman"/>
        </w:rPr>
        <w:t xml:space="preserve"> </w:t>
      </w:r>
      <w:hyperlink r:id="rId1" w:history="1">
        <w:r w:rsidR="0011144D" w:rsidRPr="000F2D59">
          <w:rPr>
            <w:rStyle w:val="Hperlink"/>
            <w:rFonts w:ascii="Times New Roman" w:hAnsi="Times New Roman"/>
          </w:rPr>
          <w:t>https://www.pensionikeskus.ee/meist/isikuandmete-tootlemine/</w:t>
        </w:r>
      </w:hyperlink>
      <w:r w:rsidR="0011144D">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5F6"/>
    <w:multiLevelType w:val="hybridMultilevel"/>
    <w:tmpl w:val="D60C3210"/>
    <w:lvl w:ilvl="0" w:tplc="0425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DB3490"/>
    <w:multiLevelType w:val="hybridMultilevel"/>
    <w:tmpl w:val="2F42456C"/>
    <w:lvl w:ilvl="0" w:tplc="84B2110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4AC5E4A"/>
    <w:multiLevelType w:val="hybridMultilevel"/>
    <w:tmpl w:val="00AC3AE0"/>
    <w:lvl w:ilvl="0" w:tplc="042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7E49BA"/>
    <w:multiLevelType w:val="hybridMultilevel"/>
    <w:tmpl w:val="1CAEA5A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8A3BED"/>
    <w:multiLevelType w:val="hybridMultilevel"/>
    <w:tmpl w:val="482A02AA"/>
    <w:lvl w:ilvl="0" w:tplc="04406D26">
      <w:start w:val="1"/>
      <w:numFmt w:val="bullet"/>
      <w:lvlText w:val="-"/>
      <w:lvlJc w:val="left"/>
      <w:pPr>
        <w:ind w:left="360" w:hanging="36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3F7A6421"/>
    <w:multiLevelType w:val="hybridMultilevel"/>
    <w:tmpl w:val="093CA9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AE3C50"/>
    <w:multiLevelType w:val="hybridMultilevel"/>
    <w:tmpl w:val="445C0D52"/>
    <w:lvl w:ilvl="0" w:tplc="78EEBAFE">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DA13B2"/>
    <w:multiLevelType w:val="hybridMultilevel"/>
    <w:tmpl w:val="AF7C9996"/>
    <w:lvl w:ilvl="0" w:tplc="0425000F">
      <w:start w:val="1"/>
      <w:numFmt w:val="decimal"/>
      <w:lvlText w:val="%1."/>
      <w:lvlJc w:val="left"/>
      <w:pPr>
        <w:ind w:left="1800" w:hanging="360"/>
      </w:pPr>
    </w:lvl>
    <w:lvl w:ilvl="1" w:tplc="04250019" w:tentative="1">
      <w:start w:val="1"/>
      <w:numFmt w:val="lowerLetter"/>
      <w:lvlText w:val="%2."/>
      <w:lvlJc w:val="left"/>
      <w:pPr>
        <w:ind w:left="2520" w:hanging="360"/>
      </w:pPr>
    </w:lvl>
    <w:lvl w:ilvl="2" w:tplc="0425001B" w:tentative="1">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8" w15:restartNumberingAfterBreak="0">
    <w:nsid w:val="4BEF439F"/>
    <w:multiLevelType w:val="hybridMultilevel"/>
    <w:tmpl w:val="8500B480"/>
    <w:lvl w:ilvl="0" w:tplc="0C7E7E88">
      <w:start w:val="1"/>
      <w:numFmt w:val="decimal"/>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C3376B9"/>
    <w:multiLevelType w:val="hybridMultilevel"/>
    <w:tmpl w:val="B0E23A2A"/>
    <w:lvl w:ilvl="0" w:tplc="0425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4FDC69E2"/>
    <w:multiLevelType w:val="hybridMultilevel"/>
    <w:tmpl w:val="8648FA0C"/>
    <w:lvl w:ilvl="0" w:tplc="78EEBAFE">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485272E"/>
    <w:multiLevelType w:val="hybridMultilevel"/>
    <w:tmpl w:val="70C4AEA0"/>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2" w15:restartNumberingAfterBreak="0">
    <w:nsid w:val="579E086E"/>
    <w:multiLevelType w:val="hybridMultilevel"/>
    <w:tmpl w:val="1ACC5696"/>
    <w:lvl w:ilvl="0" w:tplc="255EDF0E">
      <w:start w:val="1"/>
      <w:numFmt w:val="decimal"/>
      <w:pStyle w:val="numbriganormal"/>
      <w:lvlText w:val="%1."/>
      <w:lvlJc w:val="left"/>
      <w:pPr>
        <w:ind w:left="644" w:hanging="360"/>
      </w:pPr>
      <w:rPr>
        <w:rFonts w:cs="Times New Roman" w:hint="default"/>
        <w:color w:val="auto"/>
      </w:rPr>
    </w:lvl>
    <w:lvl w:ilvl="1" w:tplc="FBFCB240">
      <w:numFmt w:val="bullet"/>
      <w:lvlText w:val="•"/>
      <w:lvlJc w:val="left"/>
      <w:pPr>
        <w:ind w:left="1785" w:hanging="705"/>
      </w:pPr>
      <w:rPr>
        <w:rFonts w:ascii="Calibri" w:eastAsia="Times New Roman" w:hAnsi="Calibri" w:hint="default"/>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59C34F93"/>
    <w:multiLevelType w:val="hybridMultilevel"/>
    <w:tmpl w:val="061005CC"/>
    <w:lvl w:ilvl="0" w:tplc="04406D26">
      <w:start w:val="1"/>
      <w:numFmt w:val="bullet"/>
      <w:lvlText w:val="-"/>
      <w:lvlJc w:val="left"/>
      <w:pPr>
        <w:ind w:left="360" w:hanging="36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6086433E"/>
    <w:multiLevelType w:val="hybridMultilevel"/>
    <w:tmpl w:val="D24A02F2"/>
    <w:lvl w:ilvl="0" w:tplc="78EEBAFE">
      <w:start w:val="1"/>
      <w:numFmt w:val="lowerRoman"/>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5" w15:restartNumberingAfterBreak="0">
    <w:nsid w:val="6A5A5221"/>
    <w:multiLevelType w:val="hybridMultilevel"/>
    <w:tmpl w:val="D602BEEA"/>
    <w:lvl w:ilvl="0" w:tplc="04406D26">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6555A40"/>
    <w:multiLevelType w:val="hybridMultilevel"/>
    <w:tmpl w:val="1CAEA5A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E501013"/>
    <w:multiLevelType w:val="hybridMultilevel"/>
    <w:tmpl w:val="093CA9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F263513"/>
    <w:multiLevelType w:val="hybridMultilevel"/>
    <w:tmpl w:val="A372C9FE"/>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1604264462">
    <w:abstractNumId w:val="12"/>
  </w:num>
  <w:num w:numId="2" w16cid:durableId="1990596220">
    <w:abstractNumId w:val="6"/>
  </w:num>
  <w:num w:numId="3" w16cid:durableId="509562022">
    <w:abstractNumId w:val="1"/>
  </w:num>
  <w:num w:numId="4" w16cid:durableId="623460514">
    <w:abstractNumId w:val="16"/>
  </w:num>
  <w:num w:numId="5" w16cid:durableId="1519926309">
    <w:abstractNumId w:val="8"/>
  </w:num>
  <w:num w:numId="6" w16cid:durableId="993799854">
    <w:abstractNumId w:val="3"/>
  </w:num>
  <w:num w:numId="7" w16cid:durableId="1450854808">
    <w:abstractNumId w:val="17"/>
  </w:num>
  <w:num w:numId="8" w16cid:durableId="539635010">
    <w:abstractNumId w:val="5"/>
  </w:num>
  <w:num w:numId="9" w16cid:durableId="225380358">
    <w:abstractNumId w:val="15"/>
  </w:num>
  <w:num w:numId="10" w16cid:durableId="1249539704">
    <w:abstractNumId w:val="4"/>
  </w:num>
  <w:num w:numId="11" w16cid:durableId="1348369261">
    <w:abstractNumId w:val="11"/>
  </w:num>
  <w:num w:numId="12" w16cid:durableId="728650909">
    <w:abstractNumId w:val="7"/>
  </w:num>
  <w:num w:numId="13" w16cid:durableId="1596093522">
    <w:abstractNumId w:val="10"/>
  </w:num>
  <w:num w:numId="14" w16cid:durableId="1692144939">
    <w:abstractNumId w:val="13"/>
  </w:num>
  <w:num w:numId="15" w16cid:durableId="407654620">
    <w:abstractNumId w:val="14"/>
  </w:num>
  <w:num w:numId="16" w16cid:durableId="796292756">
    <w:abstractNumId w:val="0"/>
  </w:num>
  <w:num w:numId="17" w16cid:durableId="1708682298">
    <w:abstractNumId w:val="9"/>
  </w:num>
  <w:num w:numId="18" w16cid:durableId="468397201">
    <w:abstractNumId w:val="18"/>
  </w:num>
  <w:num w:numId="19" w16cid:durableId="217939585">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l Kook">
    <w15:presenceInfo w15:providerId="AD" w15:userId="S::Joel.Kook@just.ee::1a2e886b-2bd2-4f0c-8efb-840b2259ab7b"/>
  </w15:person>
  <w15:person w15:author="Iivika Sale">
    <w15:presenceInfo w15:providerId="AD" w15:userId="S::Iivika.Sale@just.ee::078bb3df-7791-467a-bb64-7407f2dff0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32"/>
    <w:rsid w:val="00002A20"/>
    <w:rsid w:val="000030EC"/>
    <w:rsid w:val="00003270"/>
    <w:rsid w:val="00003A40"/>
    <w:rsid w:val="00003D6B"/>
    <w:rsid w:val="000063A1"/>
    <w:rsid w:val="00010C3F"/>
    <w:rsid w:val="00011FBA"/>
    <w:rsid w:val="0001278E"/>
    <w:rsid w:val="00013914"/>
    <w:rsid w:val="00016BCA"/>
    <w:rsid w:val="00017C62"/>
    <w:rsid w:val="00017F35"/>
    <w:rsid w:val="0002029E"/>
    <w:rsid w:val="00021C03"/>
    <w:rsid w:val="00022364"/>
    <w:rsid w:val="0002422A"/>
    <w:rsid w:val="000415EC"/>
    <w:rsid w:val="00041FF0"/>
    <w:rsid w:val="0004210E"/>
    <w:rsid w:val="00042758"/>
    <w:rsid w:val="0004675A"/>
    <w:rsid w:val="00051183"/>
    <w:rsid w:val="000545FA"/>
    <w:rsid w:val="000560AD"/>
    <w:rsid w:val="000565EC"/>
    <w:rsid w:val="000602C7"/>
    <w:rsid w:val="00060EF2"/>
    <w:rsid w:val="00062332"/>
    <w:rsid w:val="00062780"/>
    <w:rsid w:val="00063331"/>
    <w:rsid w:val="00070342"/>
    <w:rsid w:val="0007163D"/>
    <w:rsid w:val="00071CC3"/>
    <w:rsid w:val="00072763"/>
    <w:rsid w:val="00074A21"/>
    <w:rsid w:val="00081E1C"/>
    <w:rsid w:val="0008592D"/>
    <w:rsid w:val="00086EF3"/>
    <w:rsid w:val="00090803"/>
    <w:rsid w:val="00091073"/>
    <w:rsid w:val="000940EF"/>
    <w:rsid w:val="00094ACF"/>
    <w:rsid w:val="000964A0"/>
    <w:rsid w:val="00096AC6"/>
    <w:rsid w:val="00096CFF"/>
    <w:rsid w:val="000972AD"/>
    <w:rsid w:val="000978D6"/>
    <w:rsid w:val="000A085E"/>
    <w:rsid w:val="000A305D"/>
    <w:rsid w:val="000A4A57"/>
    <w:rsid w:val="000A4E3D"/>
    <w:rsid w:val="000A691B"/>
    <w:rsid w:val="000B2E7E"/>
    <w:rsid w:val="000B3CAD"/>
    <w:rsid w:val="000B4663"/>
    <w:rsid w:val="000B53F4"/>
    <w:rsid w:val="000B6FCC"/>
    <w:rsid w:val="000C165E"/>
    <w:rsid w:val="000C195D"/>
    <w:rsid w:val="000C5D48"/>
    <w:rsid w:val="000C678F"/>
    <w:rsid w:val="000C6D00"/>
    <w:rsid w:val="000C724E"/>
    <w:rsid w:val="000C7548"/>
    <w:rsid w:val="000D2FDA"/>
    <w:rsid w:val="000D41A0"/>
    <w:rsid w:val="000D57DD"/>
    <w:rsid w:val="000D7967"/>
    <w:rsid w:val="000E0ED2"/>
    <w:rsid w:val="000E1E45"/>
    <w:rsid w:val="000E5AFC"/>
    <w:rsid w:val="000E6B2D"/>
    <w:rsid w:val="000F047F"/>
    <w:rsid w:val="000F09B7"/>
    <w:rsid w:val="000F4401"/>
    <w:rsid w:val="000F4755"/>
    <w:rsid w:val="00100C55"/>
    <w:rsid w:val="00101CAD"/>
    <w:rsid w:val="00104240"/>
    <w:rsid w:val="001051D3"/>
    <w:rsid w:val="00106D73"/>
    <w:rsid w:val="001106FD"/>
    <w:rsid w:val="00111364"/>
    <w:rsid w:val="0011144D"/>
    <w:rsid w:val="001136F0"/>
    <w:rsid w:val="00113CDB"/>
    <w:rsid w:val="00114028"/>
    <w:rsid w:val="0011551D"/>
    <w:rsid w:val="00117629"/>
    <w:rsid w:val="00117DED"/>
    <w:rsid w:val="001219CF"/>
    <w:rsid w:val="00121AA0"/>
    <w:rsid w:val="0012281A"/>
    <w:rsid w:val="00124400"/>
    <w:rsid w:val="001247CD"/>
    <w:rsid w:val="0012626A"/>
    <w:rsid w:val="00126721"/>
    <w:rsid w:val="00130058"/>
    <w:rsid w:val="001304F8"/>
    <w:rsid w:val="00135EBD"/>
    <w:rsid w:val="001407C7"/>
    <w:rsid w:val="0014200C"/>
    <w:rsid w:val="00142C65"/>
    <w:rsid w:val="00144CC9"/>
    <w:rsid w:val="00145F80"/>
    <w:rsid w:val="00153252"/>
    <w:rsid w:val="00153D8C"/>
    <w:rsid w:val="001543E7"/>
    <w:rsid w:val="00160828"/>
    <w:rsid w:val="00160B0E"/>
    <w:rsid w:val="00163531"/>
    <w:rsid w:val="00164624"/>
    <w:rsid w:val="00164F11"/>
    <w:rsid w:val="001657FC"/>
    <w:rsid w:val="0016693B"/>
    <w:rsid w:val="00166EF2"/>
    <w:rsid w:val="00167670"/>
    <w:rsid w:val="00171A69"/>
    <w:rsid w:val="00171AC3"/>
    <w:rsid w:val="001734A6"/>
    <w:rsid w:val="001734B3"/>
    <w:rsid w:val="0017539A"/>
    <w:rsid w:val="00175851"/>
    <w:rsid w:val="0017617E"/>
    <w:rsid w:val="001769E2"/>
    <w:rsid w:val="001773EE"/>
    <w:rsid w:val="00181E84"/>
    <w:rsid w:val="001830C9"/>
    <w:rsid w:val="00183560"/>
    <w:rsid w:val="00184119"/>
    <w:rsid w:val="00184400"/>
    <w:rsid w:val="00185165"/>
    <w:rsid w:val="0018653A"/>
    <w:rsid w:val="00190D49"/>
    <w:rsid w:val="00191161"/>
    <w:rsid w:val="0019158E"/>
    <w:rsid w:val="00191F64"/>
    <w:rsid w:val="001950E2"/>
    <w:rsid w:val="0019676C"/>
    <w:rsid w:val="001A15B5"/>
    <w:rsid w:val="001A50CF"/>
    <w:rsid w:val="001A64A6"/>
    <w:rsid w:val="001A7A3A"/>
    <w:rsid w:val="001A7BE5"/>
    <w:rsid w:val="001B24A2"/>
    <w:rsid w:val="001B3944"/>
    <w:rsid w:val="001B4566"/>
    <w:rsid w:val="001B6192"/>
    <w:rsid w:val="001C24E2"/>
    <w:rsid w:val="001C3DC1"/>
    <w:rsid w:val="001C64E4"/>
    <w:rsid w:val="001C7102"/>
    <w:rsid w:val="001D0A9E"/>
    <w:rsid w:val="001D0DF4"/>
    <w:rsid w:val="001D1546"/>
    <w:rsid w:val="001D22EC"/>
    <w:rsid w:val="001D2A51"/>
    <w:rsid w:val="001E0C51"/>
    <w:rsid w:val="001E2CD1"/>
    <w:rsid w:val="001E3D9E"/>
    <w:rsid w:val="001E4618"/>
    <w:rsid w:val="001E4F0E"/>
    <w:rsid w:val="001E71A1"/>
    <w:rsid w:val="001F0587"/>
    <w:rsid w:val="001F07F7"/>
    <w:rsid w:val="001F1132"/>
    <w:rsid w:val="001F2B47"/>
    <w:rsid w:val="001F33D6"/>
    <w:rsid w:val="001F3978"/>
    <w:rsid w:val="001F482A"/>
    <w:rsid w:val="001F4B5F"/>
    <w:rsid w:val="001F5EF7"/>
    <w:rsid w:val="001F6A50"/>
    <w:rsid w:val="0020015D"/>
    <w:rsid w:val="0020108B"/>
    <w:rsid w:val="00202AF9"/>
    <w:rsid w:val="00211DBD"/>
    <w:rsid w:val="00213190"/>
    <w:rsid w:val="00213AF3"/>
    <w:rsid w:val="002145EE"/>
    <w:rsid w:val="00214A36"/>
    <w:rsid w:val="00214DB5"/>
    <w:rsid w:val="00214E60"/>
    <w:rsid w:val="00215ABE"/>
    <w:rsid w:val="00217E6E"/>
    <w:rsid w:val="00223357"/>
    <w:rsid w:val="00226689"/>
    <w:rsid w:val="00230B86"/>
    <w:rsid w:val="00236C91"/>
    <w:rsid w:val="00236D96"/>
    <w:rsid w:val="0023759E"/>
    <w:rsid w:val="002401BD"/>
    <w:rsid w:val="0024081F"/>
    <w:rsid w:val="002413CD"/>
    <w:rsid w:val="00241A79"/>
    <w:rsid w:val="00241E72"/>
    <w:rsid w:val="00242408"/>
    <w:rsid w:val="0024274D"/>
    <w:rsid w:val="00243351"/>
    <w:rsid w:val="00250CA3"/>
    <w:rsid w:val="00253DD2"/>
    <w:rsid w:val="00256D09"/>
    <w:rsid w:val="00256E53"/>
    <w:rsid w:val="00260A18"/>
    <w:rsid w:val="00261E1F"/>
    <w:rsid w:val="002659C9"/>
    <w:rsid w:val="0026600D"/>
    <w:rsid w:val="00266947"/>
    <w:rsid w:val="00267FC6"/>
    <w:rsid w:val="0027291A"/>
    <w:rsid w:val="002745C0"/>
    <w:rsid w:val="00274B5F"/>
    <w:rsid w:val="00274F48"/>
    <w:rsid w:val="002760E2"/>
    <w:rsid w:val="00285404"/>
    <w:rsid w:val="0028605B"/>
    <w:rsid w:val="002862B0"/>
    <w:rsid w:val="00291618"/>
    <w:rsid w:val="00291ED0"/>
    <w:rsid w:val="002942B8"/>
    <w:rsid w:val="002A1002"/>
    <w:rsid w:val="002A13CA"/>
    <w:rsid w:val="002A1C5F"/>
    <w:rsid w:val="002A290C"/>
    <w:rsid w:val="002A336B"/>
    <w:rsid w:val="002A4588"/>
    <w:rsid w:val="002A4FE3"/>
    <w:rsid w:val="002A5022"/>
    <w:rsid w:val="002A779A"/>
    <w:rsid w:val="002B4A0C"/>
    <w:rsid w:val="002B5083"/>
    <w:rsid w:val="002B5B46"/>
    <w:rsid w:val="002B7480"/>
    <w:rsid w:val="002C1550"/>
    <w:rsid w:val="002C3F4D"/>
    <w:rsid w:val="002C6094"/>
    <w:rsid w:val="002C60E6"/>
    <w:rsid w:val="002D0B0E"/>
    <w:rsid w:val="002D1820"/>
    <w:rsid w:val="002D243E"/>
    <w:rsid w:val="002D63ED"/>
    <w:rsid w:val="002E1EBE"/>
    <w:rsid w:val="002E25CE"/>
    <w:rsid w:val="002E4324"/>
    <w:rsid w:val="002E4CDF"/>
    <w:rsid w:val="002E6359"/>
    <w:rsid w:val="002F231B"/>
    <w:rsid w:val="002F3503"/>
    <w:rsid w:val="002F401F"/>
    <w:rsid w:val="002F486C"/>
    <w:rsid w:val="002F4D9F"/>
    <w:rsid w:val="0030156C"/>
    <w:rsid w:val="00301FD3"/>
    <w:rsid w:val="003044E2"/>
    <w:rsid w:val="003053D3"/>
    <w:rsid w:val="00305586"/>
    <w:rsid w:val="00313026"/>
    <w:rsid w:val="00315348"/>
    <w:rsid w:val="00315E59"/>
    <w:rsid w:val="0031655D"/>
    <w:rsid w:val="003170DC"/>
    <w:rsid w:val="003206C7"/>
    <w:rsid w:val="00321CFD"/>
    <w:rsid w:val="0032237E"/>
    <w:rsid w:val="003241CB"/>
    <w:rsid w:val="003306FC"/>
    <w:rsid w:val="00331A5F"/>
    <w:rsid w:val="00332594"/>
    <w:rsid w:val="00333212"/>
    <w:rsid w:val="00333708"/>
    <w:rsid w:val="00334AB9"/>
    <w:rsid w:val="003353B8"/>
    <w:rsid w:val="00335D3B"/>
    <w:rsid w:val="00336E93"/>
    <w:rsid w:val="0033751F"/>
    <w:rsid w:val="00340F6F"/>
    <w:rsid w:val="0034530D"/>
    <w:rsid w:val="003474BD"/>
    <w:rsid w:val="00351D3D"/>
    <w:rsid w:val="00353638"/>
    <w:rsid w:val="00355DA2"/>
    <w:rsid w:val="003573FD"/>
    <w:rsid w:val="00362A5E"/>
    <w:rsid w:val="00367E6C"/>
    <w:rsid w:val="0037040C"/>
    <w:rsid w:val="0037105B"/>
    <w:rsid w:val="003711DE"/>
    <w:rsid w:val="00372DEC"/>
    <w:rsid w:val="00380C9E"/>
    <w:rsid w:val="0038402A"/>
    <w:rsid w:val="00385884"/>
    <w:rsid w:val="00386BC3"/>
    <w:rsid w:val="0038722B"/>
    <w:rsid w:val="00392AE5"/>
    <w:rsid w:val="0039391A"/>
    <w:rsid w:val="003A22C1"/>
    <w:rsid w:val="003A45C8"/>
    <w:rsid w:val="003A4C11"/>
    <w:rsid w:val="003A57F6"/>
    <w:rsid w:val="003A663A"/>
    <w:rsid w:val="003A78AB"/>
    <w:rsid w:val="003B0AD5"/>
    <w:rsid w:val="003B1CCA"/>
    <w:rsid w:val="003B1D64"/>
    <w:rsid w:val="003B2D78"/>
    <w:rsid w:val="003B5634"/>
    <w:rsid w:val="003B76BB"/>
    <w:rsid w:val="003C217A"/>
    <w:rsid w:val="003C3EC6"/>
    <w:rsid w:val="003C496E"/>
    <w:rsid w:val="003C61FC"/>
    <w:rsid w:val="003C6CDB"/>
    <w:rsid w:val="003D037F"/>
    <w:rsid w:val="003D0A12"/>
    <w:rsid w:val="003D5A06"/>
    <w:rsid w:val="003E312A"/>
    <w:rsid w:val="003E406B"/>
    <w:rsid w:val="003E4C6C"/>
    <w:rsid w:val="003F0788"/>
    <w:rsid w:val="003F0C0F"/>
    <w:rsid w:val="003F583A"/>
    <w:rsid w:val="003F6067"/>
    <w:rsid w:val="003F7BC7"/>
    <w:rsid w:val="003F7EED"/>
    <w:rsid w:val="0040156E"/>
    <w:rsid w:val="00401DAD"/>
    <w:rsid w:val="004033E1"/>
    <w:rsid w:val="00404472"/>
    <w:rsid w:val="0040500F"/>
    <w:rsid w:val="004070C4"/>
    <w:rsid w:val="0040715D"/>
    <w:rsid w:val="004130AE"/>
    <w:rsid w:val="0041313D"/>
    <w:rsid w:val="004156FB"/>
    <w:rsid w:val="0041581B"/>
    <w:rsid w:val="00421298"/>
    <w:rsid w:val="00422209"/>
    <w:rsid w:val="00422279"/>
    <w:rsid w:val="00423ACB"/>
    <w:rsid w:val="004244EB"/>
    <w:rsid w:val="004260BA"/>
    <w:rsid w:val="004305AB"/>
    <w:rsid w:val="00430CF0"/>
    <w:rsid w:val="00431939"/>
    <w:rsid w:val="00431E60"/>
    <w:rsid w:val="00432AEC"/>
    <w:rsid w:val="00435733"/>
    <w:rsid w:val="00437387"/>
    <w:rsid w:val="00437FF1"/>
    <w:rsid w:val="004405C4"/>
    <w:rsid w:val="00447EA2"/>
    <w:rsid w:val="00453743"/>
    <w:rsid w:val="00455240"/>
    <w:rsid w:val="00456911"/>
    <w:rsid w:val="00460418"/>
    <w:rsid w:val="00462754"/>
    <w:rsid w:val="00463F92"/>
    <w:rsid w:val="00463FC4"/>
    <w:rsid w:val="004653BA"/>
    <w:rsid w:val="00472E79"/>
    <w:rsid w:val="004748F0"/>
    <w:rsid w:val="00477D9E"/>
    <w:rsid w:val="00482855"/>
    <w:rsid w:val="00484BEB"/>
    <w:rsid w:val="00490837"/>
    <w:rsid w:val="00492DD6"/>
    <w:rsid w:val="00493EA1"/>
    <w:rsid w:val="00494612"/>
    <w:rsid w:val="00494C26"/>
    <w:rsid w:val="00497987"/>
    <w:rsid w:val="00497E82"/>
    <w:rsid w:val="004A215A"/>
    <w:rsid w:val="004A26E8"/>
    <w:rsid w:val="004A3CDD"/>
    <w:rsid w:val="004A4B74"/>
    <w:rsid w:val="004A4F93"/>
    <w:rsid w:val="004A7223"/>
    <w:rsid w:val="004B0F0F"/>
    <w:rsid w:val="004B42FD"/>
    <w:rsid w:val="004B65AF"/>
    <w:rsid w:val="004C01C3"/>
    <w:rsid w:val="004C04AB"/>
    <w:rsid w:val="004C1B51"/>
    <w:rsid w:val="004C21CC"/>
    <w:rsid w:val="004C2C0F"/>
    <w:rsid w:val="004C507D"/>
    <w:rsid w:val="004C5B58"/>
    <w:rsid w:val="004C7373"/>
    <w:rsid w:val="004C77C6"/>
    <w:rsid w:val="004C7AA7"/>
    <w:rsid w:val="004D1CF6"/>
    <w:rsid w:val="004D1FE2"/>
    <w:rsid w:val="004D2888"/>
    <w:rsid w:val="004D2EE5"/>
    <w:rsid w:val="004D75A1"/>
    <w:rsid w:val="004D7A31"/>
    <w:rsid w:val="004E0034"/>
    <w:rsid w:val="004E0EA1"/>
    <w:rsid w:val="004E37B9"/>
    <w:rsid w:val="004E5CB8"/>
    <w:rsid w:val="004E7036"/>
    <w:rsid w:val="004F079E"/>
    <w:rsid w:val="004F0EE5"/>
    <w:rsid w:val="004F228F"/>
    <w:rsid w:val="004F2996"/>
    <w:rsid w:val="004F3D77"/>
    <w:rsid w:val="004F3FEA"/>
    <w:rsid w:val="0050061D"/>
    <w:rsid w:val="00512E54"/>
    <w:rsid w:val="00513840"/>
    <w:rsid w:val="00514895"/>
    <w:rsid w:val="00514ACA"/>
    <w:rsid w:val="00514FD3"/>
    <w:rsid w:val="005176B6"/>
    <w:rsid w:val="0052161D"/>
    <w:rsid w:val="00521636"/>
    <w:rsid w:val="00521AE5"/>
    <w:rsid w:val="005249B2"/>
    <w:rsid w:val="0052546C"/>
    <w:rsid w:val="00525EEC"/>
    <w:rsid w:val="00526873"/>
    <w:rsid w:val="0053015F"/>
    <w:rsid w:val="005316E4"/>
    <w:rsid w:val="00531DD4"/>
    <w:rsid w:val="00533D1E"/>
    <w:rsid w:val="0053620D"/>
    <w:rsid w:val="005367F9"/>
    <w:rsid w:val="00537D7B"/>
    <w:rsid w:val="005420FC"/>
    <w:rsid w:val="0054499C"/>
    <w:rsid w:val="00550701"/>
    <w:rsid w:val="005531F0"/>
    <w:rsid w:val="00553DD6"/>
    <w:rsid w:val="0055464A"/>
    <w:rsid w:val="00556966"/>
    <w:rsid w:val="00562619"/>
    <w:rsid w:val="0056269E"/>
    <w:rsid w:val="00563BF7"/>
    <w:rsid w:val="005645C6"/>
    <w:rsid w:val="00565464"/>
    <w:rsid w:val="00566029"/>
    <w:rsid w:val="0056756F"/>
    <w:rsid w:val="00567B1E"/>
    <w:rsid w:val="00570AB2"/>
    <w:rsid w:val="005713A8"/>
    <w:rsid w:val="0057455C"/>
    <w:rsid w:val="005755AB"/>
    <w:rsid w:val="005758BF"/>
    <w:rsid w:val="00576926"/>
    <w:rsid w:val="0058599B"/>
    <w:rsid w:val="00585FC1"/>
    <w:rsid w:val="0058670A"/>
    <w:rsid w:val="005868A4"/>
    <w:rsid w:val="00586F08"/>
    <w:rsid w:val="005871A1"/>
    <w:rsid w:val="00587AA8"/>
    <w:rsid w:val="005907CB"/>
    <w:rsid w:val="0059142C"/>
    <w:rsid w:val="00593076"/>
    <w:rsid w:val="005961C5"/>
    <w:rsid w:val="00596265"/>
    <w:rsid w:val="00596A2F"/>
    <w:rsid w:val="00597387"/>
    <w:rsid w:val="005A0DD4"/>
    <w:rsid w:val="005B582B"/>
    <w:rsid w:val="005C0A83"/>
    <w:rsid w:val="005C45BD"/>
    <w:rsid w:val="005C7CE9"/>
    <w:rsid w:val="005D24A1"/>
    <w:rsid w:val="005D4DA9"/>
    <w:rsid w:val="005E2ED5"/>
    <w:rsid w:val="005E36A4"/>
    <w:rsid w:val="005E40EA"/>
    <w:rsid w:val="005E46A3"/>
    <w:rsid w:val="005E4DBF"/>
    <w:rsid w:val="005E5C34"/>
    <w:rsid w:val="005E71F9"/>
    <w:rsid w:val="005F11DE"/>
    <w:rsid w:val="005F2245"/>
    <w:rsid w:val="005F3253"/>
    <w:rsid w:val="005F4F51"/>
    <w:rsid w:val="005F7465"/>
    <w:rsid w:val="00600135"/>
    <w:rsid w:val="00600723"/>
    <w:rsid w:val="00601702"/>
    <w:rsid w:val="00603E4B"/>
    <w:rsid w:val="006057B4"/>
    <w:rsid w:val="0060668E"/>
    <w:rsid w:val="0061100F"/>
    <w:rsid w:val="006112E2"/>
    <w:rsid w:val="00612D46"/>
    <w:rsid w:val="006146D8"/>
    <w:rsid w:val="00614A61"/>
    <w:rsid w:val="006159EF"/>
    <w:rsid w:val="00615E31"/>
    <w:rsid w:val="00617F49"/>
    <w:rsid w:val="006214E5"/>
    <w:rsid w:val="00624469"/>
    <w:rsid w:val="006260A5"/>
    <w:rsid w:val="00631F84"/>
    <w:rsid w:val="0063263E"/>
    <w:rsid w:val="00632C05"/>
    <w:rsid w:val="00633220"/>
    <w:rsid w:val="00633C6A"/>
    <w:rsid w:val="00634B06"/>
    <w:rsid w:val="006352AB"/>
    <w:rsid w:val="00635669"/>
    <w:rsid w:val="006373B2"/>
    <w:rsid w:val="00642500"/>
    <w:rsid w:val="00642617"/>
    <w:rsid w:val="0064307F"/>
    <w:rsid w:val="0064444B"/>
    <w:rsid w:val="00652017"/>
    <w:rsid w:val="00660D5E"/>
    <w:rsid w:val="00661748"/>
    <w:rsid w:val="006628F5"/>
    <w:rsid w:val="006666A8"/>
    <w:rsid w:val="00670E27"/>
    <w:rsid w:val="00672C5E"/>
    <w:rsid w:val="0067516B"/>
    <w:rsid w:val="00676457"/>
    <w:rsid w:val="006803CD"/>
    <w:rsid w:val="00682513"/>
    <w:rsid w:val="00683DF7"/>
    <w:rsid w:val="00685736"/>
    <w:rsid w:val="006933C7"/>
    <w:rsid w:val="0069620E"/>
    <w:rsid w:val="00696EB7"/>
    <w:rsid w:val="006A0B20"/>
    <w:rsid w:val="006A1E38"/>
    <w:rsid w:val="006A4094"/>
    <w:rsid w:val="006A463C"/>
    <w:rsid w:val="006A64CE"/>
    <w:rsid w:val="006A767C"/>
    <w:rsid w:val="006B05B0"/>
    <w:rsid w:val="006B0649"/>
    <w:rsid w:val="006B0721"/>
    <w:rsid w:val="006B1C77"/>
    <w:rsid w:val="006B3FB3"/>
    <w:rsid w:val="006B447F"/>
    <w:rsid w:val="006B45D5"/>
    <w:rsid w:val="006B4608"/>
    <w:rsid w:val="006B5FFE"/>
    <w:rsid w:val="006B73AE"/>
    <w:rsid w:val="006C167D"/>
    <w:rsid w:val="006C295D"/>
    <w:rsid w:val="006C716B"/>
    <w:rsid w:val="006D04B0"/>
    <w:rsid w:val="006D07D7"/>
    <w:rsid w:val="006D0D2E"/>
    <w:rsid w:val="006D1544"/>
    <w:rsid w:val="006D1FDB"/>
    <w:rsid w:val="006D2C63"/>
    <w:rsid w:val="006D3D6B"/>
    <w:rsid w:val="006D404B"/>
    <w:rsid w:val="006D536A"/>
    <w:rsid w:val="006D55E6"/>
    <w:rsid w:val="006D5F91"/>
    <w:rsid w:val="006E06E4"/>
    <w:rsid w:val="006E0AA6"/>
    <w:rsid w:val="006E1B61"/>
    <w:rsid w:val="006E5759"/>
    <w:rsid w:val="006E583C"/>
    <w:rsid w:val="006E7B84"/>
    <w:rsid w:val="006F11B1"/>
    <w:rsid w:val="006F3008"/>
    <w:rsid w:val="006F334C"/>
    <w:rsid w:val="006F3AC2"/>
    <w:rsid w:val="006F4C82"/>
    <w:rsid w:val="006F5E23"/>
    <w:rsid w:val="006F6AF2"/>
    <w:rsid w:val="006F7865"/>
    <w:rsid w:val="007000F8"/>
    <w:rsid w:val="00703C1F"/>
    <w:rsid w:val="00704B78"/>
    <w:rsid w:val="00704C18"/>
    <w:rsid w:val="00711598"/>
    <w:rsid w:val="00714B20"/>
    <w:rsid w:val="00716E00"/>
    <w:rsid w:val="00717DA1"/>
    <w:rsid w:val="00720C6B"/>
    <w:rsid w:val="00723952"/>
    <w:rsid w:val="00723A33"/>
    <w:rsid w:val="00723D81"/>
    <w:rsid w:val="00725476"/>
    <w:rsid w:val="00726386"/>
    <w:rsid w:val="00726413"/>
    <w:rsid w:val="00726CD2"/>
    <w:rsid w:val="007319E0"/>
    <w:rsid w:val="0073302A"/>
    <w:rsid w:val="00733AC6"/>
    <w:rsid w:val="00735790"/>
    <w:rsid w:val="007408C9"/>
    <w:rsid w:val="007422D0"/>
    <w:rsid w:val="00744772"/>
    <w:rsid w:val="007449BC"/>
    <w:rsid w:val="007453C5"/>
    <w:rsid w:val="00745492"/>
    <w:rsid w:val="00745694"/>
    <w:rsid w:val="00746487"/>
    <w:rsid w:val="00746DC7"/>
    <w:rsid w:val="00747A59"/>
    <w:rsid w:val="007505FE"/>
    <w:rsid w:val="00750E10"/>
    <w:rsid w:val="00751A0B"/>
    <w:rsid w:val="00754662"/>
    <w:rsid w:val="00756758"/>
    <w:rsid w:val="00757134"/>
    <w:rsid w:val="00760D04"/>
    <w:rsid w:val="00762967"/>
    <w:rsid w:val="007717F5"/>
    <w:rsid w:val="007724CE"/>
    <w:rsid w:val="00773599"/>
    <w:rsid w:val="00773C51"/>
    <w:rsid w:val="00774C9D"/>
    <w:rsid w:val="00775F0F"/>
    <w:rsid w:val="007801C7"/>
    <w:rsid w:val="007803E4"/>
    <w:rsid w:val="00782D04"/>
    <w:rsid w:val="0078366F"/>
    <w:rsid w:val="00783F1E"/>
    <w:rsid w:val="007847FD"/>
    <w:rsid w:val="00792410"/>
    <w:rsid w:val="00794864"/>
    <w:rsid w:val="00795F02"/>
    <w:rsid w:val="007A021B"/>
    <w:rsid w:val="007A0D98"/>
    <w:rsid w:val="007A11EA"/>
    <w:rsid w:val="007A2BB4"/>
    <w:rsid w:val="007A3848"/>
    <w:rsid w:val="007A467A"/>
    <w:rsid w:val="007A5057"/>
    <w:rsid w:val="007B110D"/>
    <w:rsid w:val="007B1E0B"/>
    <w:rsid w:val="007B3667"/>
    <w:rsid w:val="007B5164"/>
    <w:rsid w:val="007B56FF"/>
    <w:rsid w:val="007B5D36"/>
    <w:rsid w:val="007B616C"/>
    <w:rsid w:val="007B650F"/>
    <w:rsid w:val="007C09DA"/>
    <w:rsid w:val="007C5091"/>
    <w:rsid w:val="007D0146"/>
    <w:rsid w:val="007D0263"/>
    <w:rsid w:val="007D0E04"/>
    <w:rsid w:val="007D1329"/>
    <w:rsid w:val="007E2921"/>
    <w:rsid w:val="007E44C8"/>
    <w:rsid w:val="007E5F25"/>
    <w:rsid w:val="007E60CA"/>
    <w:rsid w:val="007E75A3"/>
    <w:rsid w:val="007E7619"/>
    <w:rsid w:val="007E7B77"/>
    <w:rsid w:val="007F2868"/>
    <w:rsid w:val="007F3800"/>
    <w:rsid w:val="007F3A43"/>
    <w:rsid w:val="007F5511"/>
    <w:rsid w:val="007F5A85"/>
    <w:rsid w:val="007F6E9D"/>
    <w:rsid w:val="007F72EA"/>
    <w:rsid w:val="00801530"/>
    <w:rsid w:val="00803828"/>
    <w:rsid w:val="008055FC"/>
    <w:rsid w:val="00810E33"/>
    <w:rsid w:val="00811DDA"/>
    <w:rsid w:val="00815925"/>
    <w:rsid w:val="00815F33"/>
    <w:rsid w:val="00816246"/>
    <w:rsid w:val="008201B7"/>
    <w:rsid w:val="00823622"/>
    <w:rsid w:val="008247A8"/>
    <w:rsid w:val="008266B9"/>
    <w:rsid w:val="00832539"/>
    <w:rsid w:val="00841872"/>
    <w:rsid w:val="00843555"/>
    <w:rsid w:val="008456C5"/>
    <w:rsid w:val="00846A7D"/>
    <w:rsid w:val="008500F3"/>
    <w:rsid w:val="00850377"/>
    <w:rsid w:val="00850A5D"/>
    <w:rsid w:val="0085122C"/>
    <w:rsid w:val="00856C2A"/>
    <w:rsid w:val="008578FA"/>
    <w:rsid w:val="00864EE6"/>
    <w:rsid w:val="00871190"/>
    <w:rsid w:val="00872C64"/>
    <w:rsid w:val="008741B1"/>
    <w:rsid w:val="00882B21"/>
    <w:rsid w:val="00884EED"/>
    <w:rsid w:val="0088558C"/>
    <w:rsid w:val="00886467"/>
    <w:rsid w:val="008878AC"/>
    <w:rsid w:val="008907EC"/>
    <w:rsid w:val="00895212"/>
    <w:rsid w:val="0089621A"/>
    <w:rsid w:val="0089643A"/>
    <w:rsid w:val="0089686B"/>
    <w:rsid w:val="00896B87"/>
    <w:rsid w:val="00897489"/>
    <w:rsid w:val="008975E0"/>
    <w:rsid w:val="00897778"/>
    <w:rsid w:val="00897BCE"/>
    <w:rsid w:val="008A0094"/>
    <w:rsid w:val="008A0B7D"/>
    <w:rsid w:val="008B1D1A"/>
    <w:rsid w:val="008B2F4B"/>
    <w:rsid w:val="008B3842"/>
    <w:rsid w:val="008B4EEA"/>
    <w:rsid w:val="008B5A7E"/>
    <w:rsid w:val="008C108F"/>
    <w:rsid w:val="008C5592"/>
    <w:rsid w:val="008D00F6"/>
    <w:rsid w:val="008D0601"/>
    <w:rsid w:val="008D0A1C"/>
    <w:rsid w:val="008D1995"/>
    <w:rsid w:val="008D385C"/>
    <w:rsid w:val="008D44F1"/>
    <w:rsid w:val="008D453A"/>
    <w:rsid w:val="008D4F0A"/>
    <w:rsid w:val="008D7967"/>
    <w:rsid w:val="008E053A"/>
    <w:rsid w:val="008E079C"/>
    <w:rsid w:val="008E1181"/>
    <w:rsid w:val="008E269D"/>
    <w:rsid w:val="008E4F6D"/>
    <w:rsid w:val="008E6FFD"/>
    <w:rsid w:val="008F0394"/>
    <w:rsid w:val="008F0AC9"/>
    <w:rsid w:val="008F2B4A"/>
    <w:rsid w:val="008F37B4"/>
    <w:rsid w:val="008F411F"/>
    <w:rsid w:val="008F4305"/>
    <w:rsid w:val="0090053D"/>
    <w:rsid w:val="009008FA"/>
    <w:rsid w:val="0090416D"/>
    <w:rsid w:val="00905889"/>
    <w:rsid w:val="00905CAD"/>
    <w:rsid w:val="00905EDE"/>
    <w:rsid w:val="00906B1C"/>
    <w:rsid w:val="00907746"/>
    <w:rsid w:val="00907CD2"/>
    <w:rsid w:val="00913D1A"/>
    <w:rsid w:val="009145E1"/>
    <w:rsid w:val="00914972"/>
    <w:rsid w:val="00914C71"/>
    <w:rsid w:val="00914F92"/>
    <w:rsid w:val="009179F5"/>
    <w:rsid w:val="00920A50"/>
    <w:rsid w:val="00920A90"/>
    <w:rsid w:val="00924590"/>
    <w:rsid w:val="00927696"/>
    <w:rsid w:val="00927A48"/>
    <w:rsid w:val="00927A8A"/>
    <w:rsid w:val="00931AD4"/>
    <w:rsid w:val="00931B9B"/>
    <w:rsid w:val="0093313E"/>
    <w:rsid w:val="0093372E"/>
    <w:rsid w:val="00934A0C"/>
    <w:rsid w:val="00935039"/>
    <w:rsid w:val="0094147B"/>
    <w:rsid w:val="00942F76"/>
    <w:rsid w:val="0094759A"/>
    <w:rsid w:val="00947F19"/>
    <w:rsid w:val="00950E5B"/>
    <w:rsid w:val="00951095"/>
    <w:rsid w:val="00952014"/>
    <w:rsid w:val="00953E72"/>
    <w:rsid w:val="00953EEB"/>
    <w:rsid w:val="00964038"/>
    <w:rsid w:val="00966AB7"/>
    <w:rsid w:val="00966B16"/>
    <w:rsid w:val="009700C5"/>
    <w:rsid w:val="0097185A"/>
    <w:rsid w:val="00972EA6"/>
    <w:rsid w:val="00973BC6"/>
    <w:rsid w:val="009742B7"/>
    <w:rsid w:val="00974470"/>
    <w:rsid w:val="009756F6"/>
    <w:rsid w:val="00977C48"/>
    <w:rsid w:val="009804D4"/>
    <w:rsid w:val="00981EC2"/>
    <w:rsid w:val="0098476D"/>
    <w:rsid w:val="0098556C"/>
    <w:rsid w:val="00986EA9"/>
    <w:rsid w:val="0098725F"/>
    <w:rsid w:val="009877C6"/>
    <w:rsid w:val="0099143B"/>
    <w:rsid w:val="0099163A"/>
    <w:rsid w:val="00992BB6"/>
    <w:rsid w:val="00995394"/>
    <w:rsid w:val="009A0502"/>
    <w:rsid w:val="009A0E05"/>
    <w:rsid w:val="009A11F4"/>
    <w:rsid w:val="009A1D2B"/>
    <w:rsid w:val="009A3857"/>
    <w:rsid w:val="009A4EED"/>
    <w:rsid w:val="009A6E83"/>
    <w:rsid w:val="009A7050"/>
    <w:rsid w:val="009A7975"/>
    <w:rsid w:val="009B2E79"/>
    <w:rsid w:val="009B4D40"/>
    <w:rsid w:val="009B4DA7"/>
    <w:rsid w:val="009B5649"/>
    <w:rsid w:val="009B7AEB"/>
    <w:rsid w:val="009C34CC"/>
    <w:rsid w:val="009C3ED6"/>
    <w:rsid w:val="009C4683"/>
    <w:rsid w:val="009D19F4"/>
    <w:rsid w:val="009D2C09"/>
    <w:rsid w:val="009E0450"/>
    <w:rsid w:val="009E06BD"/>
    <w:rsid w:val="009E080F"/>
    <w:rsid w:val="009E27B5"/>
    <w:rsid w:val="009E38DA"/>
    <w:rsid w:val="009E5206"/>
    <w:rsid w:val="009E6373"/>
    <w:rsid w:val="009F39AB"/>
    <w:rsid w:val="009F4A60"/>
    <w:rsid w:val="009F4BDD"/>
    <w:rsid w:val="009F522D"/>
    <w:rsid w:val="009F52E2"/>
    <w:rsid w:val="00A00ABD"/>
    <w:rsid w:val="00A00B6A"/>
    <w:rsid w:val="00A01813"/>
    <w:rsid w:val="00A11FA1"/>
    <w:rsid w:val="00A129F1"/>
    <w:rsid w:val="00A169FA"/>
    <w:rsid w:val="00A16FF0"/>
    <w:rsid w:val="00A21094"/>
    <w:rsid w:val="00A244FC"/>
    <w:rsid w:val="00A26AFD"/>
    <w:rsid w:val="00A26B21"/>
    <w:rsid w:val="00A27D54"/>
    <w:rsid w:val="00A31F2F"/>
    <w:rsid w:val="00A338EC"/>
    <w:rsid w:val="00A347E3"/>
    <w:rsid w:val="00A34E79"/>
    <w:rsid w:val="00A35B78"/>
    <w:rsid w:val="00A37DFB"/>
    <w:rsid w:val="00A4211F"/>
    <w:rsid w:val="00A42A8F"/>
    <w:rsid w:val="00A44A87"/>
    <w:rsid w:val="00A45F44"/>
    <w:rsid w:val="00A46E91"/>
    <w:rsid w:val="00A47D80"/>
    <w:rsid w:val="00A50ADC"/>
    <w:rsid w:val="00A52D16"/>
    <w:rsid w:val="00A54F0F"/>
    <w:rsid w:val="00A615A4"/>
    <w:rsid w:val="00A62361"/>
    <w:rsid w:val="00A62956"/>
    <w:rsid w:val="00A652D0"/>
    <w:rsid w:val="00A67D58"/>
    <w:rsid w:val="00A7246B"/>
    <w:rsid w:val="00A74A3E"/>
    <w:rsid w:val="00A768C5"/>
    <w:rsid w:val="00A773DF"/>
    <w:rsid w:val="00A77462"/>
    <w:rsid w:val="00A77D79"/>
    <w:rsid w:val="00A81006"/>
    <w:rsid w:val="00A831DE"/>
    <w:rsid w:val="00A86DC1"/>
    <w:rsid w:val="00A87672"/>
    <w:rsid w:val="00A90D17"/>
    <w:rsid w:val="00A91C36"/>
    <w:rsid w:val="00A92842"/>
    <w:rsid w:val="00A9319D"/>
    <w:rsid w:val="00A9510A"/>
    <w:rsid w:val="00A975A4"/>
    <w:rsid w:val="00A9775F"/>
    <w:rsid w:val="00A978A4"/>
    <w:rsid w:val="00AA756E"/>
    <w:rsid w:val="00AB09BE"/>
    <w:rsid w:val="00AB3A4C"/>
    <w:rsid w:val="00AB422C"/>
    <w:rsid w:val="00AB524A"/>
    <w:rsid w:val="00AB5773"/>
    <w:rsid w:val="00AB7600"/>
    <w:rsid w:val="00AB7F61"/>
    <w:rsid w:val="00AC0EBF"/>
    <w:rsid w:val="00AC101B"/>
    <w:rsid w:val="00AC3777"/>
    <w:rsid w:val="00AC50BA"/>
    <w:rsid w:val="00AC7D30"/>
    <w:rsid w:val="00AD051C"/>
    <w:rsid w:val="00AD1C09"/>
    <w:rsid w:val="00AD3633"/>
    <w:rsid w:val="00AD376E"/>
    <w:rsid w:val="00AD4426"/>
    <w:rsid w:val="00AD78CA"/>
    <w:rsid w:val="00AD7F33"/>
    <w:rsid w:val="00AE2E84"/>
    <w:rsid w:val="00AE3A32"/>
    <w:rsid w:val="00AE3C65"/>
    <w:rsid w:val="00AE532F"/>
    <w:rsid w:val="00AE6C56"/>
    <w:rsid w:val="00AF2E4B"/>
    <w:rsid w:val="00AF3787"/>
    <w:rsid w:val="00AF7368"/>
    <w:rsid w:val="00AF7BD1"/>
    <w:rsid w:val="00B021D9"/>
    <w:rsid w:val="00B04D59"/>
    <w:rsid w:val="00B07323"/>
    <w:rsid w:val="00B07EC8"/>
    <w:rsid w:val="00B11D89"/>
    <w:rsid w:val="00B13D28"/>
    <w:rsid w:val="00B146E7"/>
    <w:rsid w:val="00B171FA"/>
    <w:rsid w:val="00B260E8"/>
    <w:rsid w:val="00B264C4"/>
    <w:rsid w:val="00B32250"/>
    <w:rsid w:val="00B357D4"/>
    <w:rsid w:val="00B35938"/>
    <w:rsid w:val="00B40FC6"/>
    <w:rsid w:val="00B43CA8"/>
    <w:rsid w:val="00B46306"/>
    <w:rsid w:val="00B46437"/>
    <w:rsid w:val="00B47FDD"/>
    <w:rsid w:val="00B53B0E"/>
    <w:rsid w:val="00B5431C"/>
    <w:rsid w:val="00B557E9"/>
    <w:rsid w:val="00B56F0A"/>
    <w:rsid w:val="00B602EA"/>
    <w:rsid w:val="00B636EB"/>
    <w:rsid w:val="00B63D08"/>
    <w:rsid w:val="00B667CD"/>
    <w:rsid w:val="00B719CD"/>
    <w:rsid w:val="00B73C81"/>
    <w:rsid w:val="00B74854"/>
    <w:rsid w:val="00B75766"/>
    <w:rsid w:val="00B82CEF"/>
    <w:rsid w:val="00B858F8"/>
    <w:rsid w:val="00B871E2"/>
    <w:rsid w:val="00B90DF7"/>
    <w:rsid w:val="00B940AC"/>
    <w:rsid w:val="00BA3565"/>
    <w:rsid w:val="00BA520E"/>
    <w:rsid w:val="00BA59F0"/>
    <w:rsid w:val="00BA655F"/>
    <w:rsid w:val="00BB0033"/>
    <w:rsid w:val="00BB2C53"/>
    <w:rsid w:val="00BB61E8"/>
    <w:rsid w:val="00BB65C5"/>
    <w:rsid w:val="00BC048F"/>
    <w:rsid w:val="00BC22A6"/>
    <w:rsid w:val="00BC3175"/>
    <w:rsid w:val="00BC393A"/>
    <w:rsid w:val="00BC3D05"/>
    <w:rsid w:val="00BC441E"/>
    <w:rsid w:val="00BC4921"/>
    <w:rsid w:val="00BC5067"/>
    <w:rsid w:val="00BD0937"/>
    <w:rsid w:val="00BD112C"/>
    <w:rsid w:val="00BD2C33"/>
    <w:rsid w:val="00BD69F8"/>
    <w:rsid w:val="00BE0C9C"/>
    <w:rsid w:val="00BE29DB"/>
    <w:rsid w:val="00BE317B"/>
    <w:rsid w:val="00BE390E"/>
    <w:rsid w:val="00BE4633"/>
    <w:rsid w:val="00BE73FA"/>
    <w:rsid w:val="00BF117B"/>
    <w:rsid w:val="00BF55E7"/>
    <w:rsid w:val="00C00608"/>
    <w:rsid w:val="00C014CB"/>
    <w:rsid w:val="00C0735E"/>
    <w:rsid w:val="00C1073B"/>
    <w:rsid w:val="00C1121F"/>
    <w:rsid w:val="00C11358"/>
    <w:rsid w:val="00C115DC"/>
    <w:rsid w:val="00C1191F"/>
    <w:rsid w:val="00C12FD7"/>
    <w:rsid w:val="00C1439F"/>
    <w:rsid w:val="00C21056"/>
    <w:rsid w:val="00C231E0"/>
    <w:rsid w:val="00C242D4"/>
    <w:rsid w:val="00C24FF6"/>
    <w:rsid w:val="00C25640"/>
    <w:rsid w:val="00C3086E"/>
    <w:rsid w:val="00C3262F"/>
    <w:rsid w:val="00C3539C"/>
    <w:rsid w:val="00C357CD"/>
    <w:rsid w:val="00C360B5"/>
    <w:rsid w:val="00C37950"/>
    <w:rsid w:val="00C4071A"/>
    <w:rsid w:val="00C40F30"/>
    <w:rsid w:val="00C439DF"/>
    <w:rsid w:val="00C43EC0"/>
    <w:rsid w:val="00C45117"/>
    <w:rsid w:val="00C50301"/>
    <w:rsid w:val="00C50ED0"/>
    <w:rsid w:val="00C51D3F"/>
    <w:rsid w:val="00C51FCA"/>
    <w:rsid w:val="00C5378E"/>
    <w:rsid w:val="00C5399A"/>
    <w:rsid w:val="00C54C0D"/>
    <w:rsid w:val="00C56FB7"/>
    <w:rsid w:val="00C60945"/>
    <w:rsid w:val="00C61A59"/>
    <w:rsid w:val="00C64B7A"/>
    <w:rsid w:val="00C64D1B"/>
    <w:rsid w:val="00C6529E"/>
    <w:rsid w:val="00C712BC"/>
    <w:rsid w:val="00C74EFB"/>
    <w:rsid w:val="00C75C37"/>
    <w:rsid w:val="00C771B2"/>
    <w:rsid w:val="00C774E7"/>
    <w:rsid w:val="00C77AA4"/>
    <w:rsid w:val="00C80C21"/>
    <w:rsid w:val="00C80D44"/>
    <w:rsid w:val="00C83676"/>
    <w:rsid w:val="00C869A1"/>
    <w:rsid w:val="00C873BA"/>
    <w:rsid w:val="00C900F5"/>
    <w:rsid w:val="00C914FB"/>
    <w:rsid w:val="00C92EA4"/>
    <w:rsid w:val="00CA25D2"/>
    <w:rsid w:val="00CA3646"/>
    <w:rsid w:val="00CA454B"/>
    <w:rsid w:val="00CB09D4"/>
    <w:rsid w:val="00CB1723"/>
    <w:rsid w:val="00CC0D62"/>
    <w:rsid w:val="00CC262C"/>
    <w:rsid w:val="00CC2ED6"/>
    <w:rsid w:val="00CC3BA2"/>
    <w:rsid w:val="00CC457B"/>
    <w:rsid w:val="00CC461C"/>
    <w:rsid w:val="00CC71D8"/>
    <w:rsid w:val="00CC7217"/>
    <w:rsid w:val="00CD235D"/>
    <w:rsid w:val="00CD437B"/>
    <w:rsid w:val="00CD4CE5"/>
    <w:rsid w:val="00CD69A6"/>
    <w:rsid w:val="00CD71A7"/>
    <w:rsid w:val="00CE0B40"/>
    <w:rsid w:val="00CE1825"/>
    <w:rsid w:val="00CE19F5"/>
    <w:rsid w:val="00CE2CE8"/>
    <w:rsid w:val="00CE3147"/>
    <w:rsid w:val="00CE6391"/>
    <w:rsid w:val="00CE63D2"/>
    <w:rsid w:val="00CE652A"/>
    <w:rsid w:val="00CE6BB7"/>
    <w:rsid w:val="00CF0C45"/>
    <w:rsid w:val="00CF18C0"/>
    <w:rsid w:val="00CF35F7"/>
    <w:rsid w:val="00CF6199"/>
    <w:rsid w:val="00D00477"/>
    <w:rsid w:val="00D02866"/>
    <w:rsid w:val="00D03111"/>
    <w:rsid w:val="00D0466A"/>
    <w:rsid w:val="00D11746"/>
    <w:rsid w:val="00D117DE"/>
    <w:rsid w:val="00D13DE5"/>
    <w:rsid w:val="00D1432F"/>
    <w:rsid w:val="00D14FA4"/>
    <w:rsid w:val="00D223AB"/>
    <w:rsid w:val="00D24FA0"/>
    <w:rsid w:val="00D25495"/>
    <w:rsid w:val="00D26403"/>
    <w:rsid w:val="00D2694A"/>
    <w:rsid w:val="00D3035D"/>
    <w:rsid w:val="00D32119"/>
    <w:rsid w:val="00D3298E"/>
    <w:rsid w:val="00D32BED"/>
    <w:rsid w:val="00D349D3"/>
    <w:rsid w:val="00D35EDC"/>
    <w:rsid w:val="00D36564"/>
    <w:rsid w:val="00D36C73"/>
    <w:rsid w:val="00D36E6A"/>
    <w:rsid w:val="00D4178A"/>
    <w:rsid w:val="00D42046"/>
    <w:rsid w:val="00D425FC"/>
    <w:rsid w:val="00D42C8A"/>
    <w:rsid w:val="00D43A47"/>
    <w:rsid w:val="00D54ED0"/>
    <w:rsid w:val="00D565F3"/>
    <w:rsid w:val="00D56A2D"/>
    <w:rsid w:val="00D57133"/>
    <w:rsid w:val="00D60ACD"/>
    <w:rsid w:val="00D612B6"/>
    <w:rsid w:val="00D647BE"/>
    <w:rsid w:val="00D66501"/>
    <w:rsid w:val="00D67BCD"/>
    <w:rsid w:val="00D70CFC"/>
    <w:rsid w:val="00D710D4"/>
    <w:rsid w:val="00D72486"/>
    <w:rsid w:val="00D74B20"/>
    <w:rsid w:val="00D8016F"/>
    <w:rsid w:val="00D81AFF"/>
    <w:rsid w:val="00D86E6A"/>
    <w:rsid w:val="00D91BBA"/>
    <w:rsid w:val="00D92924"/>
    <w:rsid w:val="00D948F6"/>
    <w:rsid w:val="00D95145"/>
    <w:rsid w:val="00D9650B"/>
    <w:rsid w:val="00D9690E"/>
    <w:rsid w:val="00DA253F"/>
    <w:rsid w:val="00DB10E2"/>
    <w:rsid w:val="00DB30AD"/>
    <w:rsid w:val="00DB4603"/>
    <w:rsid w:val="00DB4B9C"/>
    <w:rsid w:val="00DB54C2"/>
    <w:rsid w:val="00DB6565"/>
    <w:rsid w:val="00DC063A"/>
    <w:rsid w:val="00DC0F8F"/>
    <w:rsid w:val="00DC1C0D"/>
    <w:rsid w:val="00DC3A45"/>
    <w:rsid w:val="00DC496A"/>
    <w:rsid w:val="00DC5EC6"/>
    <w:rsid w:val="00DC668C"/>
    <w:rsid w:val="00DC7316"/>
    <w:rsid w:val="00DD114F"/>
    <w:rsid w:val="00DD224F"/>
    <w:rsid w:val="00DD23AF"/>
    <w:rsid w:val="00DD2D5A"/>
    <w:rsid w:val="00DD641C"/>
    <w:rsid w:val="00DD690A"/>
    <w:rsid w:val="00DD7D0D"/>
    <w:rsid w:val="00DE03F2"/>
    <w:rsid w:val="00DE23E2"/>
    <w:rsid w:val="00DE4670"/>
    <w:rsid w:val="00DE7110"/>
    <w:rsid w:val="00DF2E86"/>
    <w:rsid w:val="00DF37A9"/>
    <w:rsid w:val="00DF4884"/>
    <w:rsid w:val="00DF51A5"/>
    <w:rsid w:val="00DF604C"/>
    <w:rsid w:val="00DF757D"/>
    <w:rsid w:val="00E002F2"/>
    <w:rsid w:val="00E01460"/>
    <w:rsid w:val="00E0242A"/>
    <w:rsid w:val="00E0299E"/>
    <w:rsid w:val="00E03CCE"/>
    <w:rsid w:val="00E06000"/>
    <w:rsid w:val="00E06138"/>
    <w:rsid w:val="00E07ECA"/>
    <w:rsid w:val="00E10AC6"/>
    <w:rsid w:val="00E10FDC"/>
    <w:rsid w:val="00E11A84"/>
    <w:rsid w:val="00E1327A"/>
    <w:rsid w:val="00E171F8"/>
    <w:rsid w:val="00E179B4"/>
    <w:rsid w:val="00E20519"/>
    <w:rsid w:val="00E23B23"/>
    <w:rsid w:val="00E2500B"/>
    <w:rsid w:val="00E259DC"/>
    <w:rsid w:val="00E25ECD"/>
    <w:rsid w:val="00E27604"/>
    <w:rsid w:val="00E313AE"/>
    <w:rsid w:val="00E31DEC"/>
    <w:rsid w:val="00E33C73"/>
    <w:rsid w:val="00E341DF"/>
    <w:rsid w:val="00E36D82"/>
    <w:rsid w:val="00E40B34"/>
    <w:rsid w:val="00E40D98"/>
    <w:rsid w:val="00E422FC"/>
    <w:rsid w:val="00E46113"/>
    <w:rsid w:val="00E4696D"/>
    <w:rsid w:val="00E52069"/>
    <w:rsid w:val="00E52BA8"/>
    <w:rsid w:val="00E53164"/>
    <w:rsid w:val="00E5374C"/>
    <w:rsid w:val="00E5716C"/>
    <w:rsid w:val="00E574B2"/>
    <w:rsid w:val="00E578C3"/>
    <w:rsid w:val="00E57A9B"/>
    <w:rsid w:val="00E6131A"/>
    <w:rsid w:val="00E6484D"/>
    <w:rsid w:val="00E672DF"/>
    <w:rsid w:val="00E6795A"/>
    <w:rsid w:val="00E67DDD"/>
    <w:rsid w:val="00E703BA"/>
    <w:rsid w:val="00E75427"/>
    <w:rsid w:val="00E757EF"/>
    <w:rsid w:val="00E771A2"/>
    <w:rsid w:val="00E8615A"/>
    <w:rsid w:val="00E86CAE"/>
    <w:rsid w:val="00E9220C"/>
    <w:rsid w:val="00E9226B"/>
    <w:rsid w:val="00E924FF"/>
    <w:rsid w:val="00E94969"/>
    <w:rsid w:val="00E95856"/>
    <w:rsid w:val="00E96877"/>
    <w:rsid w:val="00EA1A71"/>
    <w:rsid w:val="00EA2295"/>
    <w:rsid w:val="00EA5A09"/>
    <w:rsid w:val="00EA6972"/>
    <w:rsid w:val="00EA7216"/>
    <w:rsid w:val="00EB1C19"/>
    <w:rsid w:val="00EB7ED1"/>
    <w:rsid w:val="00EC1147"/>
    <w:rsid w:val="00EC15E4"/>
    <w:rsid w:val="00EC2128"/>
    <w:rsid w:val="00EC21DC"/>
    <w:rsid w:val="00EC7C9C"/>
    <w:rsid w:val="00ED1014"/>
    <w:rsid w:val="00ED2FB8"/>
    <w:rsid w:val="00ED3C07"/>
    <w:rsid w:val="00ED5C04"/>
    <w:rsid w:val="00ED686C"/>
    <w:rsid w:val="00ED770F"/>
    <w:rsid w:val="00EE14D2"/>
    <w:rsid w:val="00EE15C7"/>
    <w:rsid w:val="00EE2C60"/>
    <w:rsid w:val="00EE4610"/>
    <w:rsid w:val="00EE6464"/>
    <w:rsid w:val="00EE6762"/>
    <w:rsid w:val="00EF0B81"/>
    <w:rsid w:val="00EF4176"/>
    <w:rsid w:val="00EF5042"/>
    <w:rsid w:val="00EF695E"/>
    <w:rsid w:val="00EF6AF0"/>
    <w:rsid w:val="00EF6E18"/>
    <w:rsid w:val="00F02B49"/>
    <w:rsid w:val="00F0622E"/>
    <w:rsid w:val="00F1171B"/>
    <w:rsid w:val="00F12587"/>
    <w:rsid w:val="00F12939"/>
    <w:rsid w:val="00F13143"/>
    <w:rsid w:val="00F14112"/>
    <w:rsid w:val="00F14B0B"/>
    <w:rsid w:val="00F14C35"/>
    <w:rsid w:val="00F170DF"/>
    <w:rsid w:val="00F1768C"/>
    <w:rsid w:val="00F17F60"/>
    <w:rsid w:val="00F23B73"/>
    <w:rsid w:val="00F27235"/>
    <w:rsid w:val="00F320EB"/>
    <w:rsid w:val="00F3260E"/>
    <w:rsid w:val="00F33A45"/>
    <w:rsid w:val="00F33DD5"/>
    <w:rsid w:val="00F355B6"/>
    <w:rsid w:val="00F42F77"/>
    <w:rsid w:val="00F43AB7"/>
    <w:rsid w:val="00F45216"/>
    <w:rsid w:val="00F46D30"/>
    <w:rsid w:val="00F474BF"/>
    <w:rsid w:val="00F47B4B"/>
    <w:rsid w:val="00F50507"/>
    <w:rsid w:val="00F56D75"/>
    <w:rsid w:val="00F57C9D"/>
    <w:rsid w:val="00F57D69"/>
    <w:rsid w:val="00F60D5C"/>
    <w:rsid w:val="00F6116D"/>
    <w:rsid w:val="00F61EAF"/>
    <w:rsid w:val="00F65304"/>
    <w:rsid w:val="00F666FC"/>
    <w:rsid w:val="00F715E0"/>
    <w:rsid w:val="00F81215"/>
    <w:rsid w:val="00F82048"/>
    <w:rsid w:val="00F820C7"/>
    <w:rsid w:val="00F83CF5"/>
    <w:rsid w:val="00F85710"/>
    <w:rsid w:val="00F85A3F"/>
    <w:rsid w:val="00F87E97"/>
    <w:rsid w:val="00F9123C"/>
    <w:rsid w:val="00F915CD"/>
    <w:rsid w:val="00F91BDB"/>
    <w:rsid w:val="00F92F51"/>
    <w:rsid w:val="00FA0BFB"/>
    <w:rsid w:val="00FA36F1"/>
    <w:rsid w:val="00FA4191"/>
    <w:rsid w:val="00FA6DA1"/>
    <w:rsid w:val="00FA7838"/>
    <w:rsid w:val="00FB10D6"/>
    <w:rsid w:val="00FB3387"/>
    <w:rsid w:val="00FB3D6E"/>
    <w:rsid w:val="00FB400B"/>
    <w:rsid w:val="00FB676F"/>
    <w:rsid w:val="00FC0694"/>
    <w:rsid w:val="00FC0995"/>
    <w:rsid w:val="00FC2EF2"/>
    <w:rsid w:val="00FC4DD7"/>
    <w:rsid w:val="00FD13C5"/>
    <w:rsid w:val="00FD46F5"/>
    <w:rsid w:val="00FD7608"/>
    <w:rsid w:val="00FE4638"/>
    <w:rsid w:val="00FE574B"/>
    <w:rsid w:val="00FE6BC6"/>
    <w:rsid w:val="00FE7A64"/>
    <w:rsid w:val="00FF29F8"/>
    <w:rsid w:val="00FF301C"/>
    <w:rsid w:val="00FF3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119A93"/>
  <w14:defaultImageDpi w14:val="96"/>
  <w15:docId w15:val="{1542ACE6-AB9F-472C-835F-825B6272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cs="Times New Roman"/>
      <w:sz w:val="24"/>
      <w:szCs w:val="24"/>
      <w:lang w:val="en-US" w:eastAsia="en-US"/>
    </w:rPr>
  </w:style>
  <w:style w:type="paragraph" w:styleId="Pealkiri1">
    <w:name w:val="heading 1"/>
    <w:basedOn w:val="Normaallaad"/>
    <w:next w:val="Normaallaad"/>
    <w:link w:val="Pealkiri1Mrk"/>
    <w:uiPriority w:val="9"/>
    <w:qFormat/>
    <w:rsid w:val="00642617"/>
    <w:pPr>
      <w:tabs>
        <w:tab w:val="num" w:pos="432"/>
      </w:tabs>
      <w:suppressAutoHyphens/>
      <w:spacing w:line="276" w:lineRule="auto"/>
      <w:ind w:left="432" w:hanging="432"/>
      <w:jc w:val="both"/>
      <w:outlineLvl w:val="0"/>
    </w:pPr>
    <w:rPr>
      <w:rFonts w:ascii="Times New Roman" w:hAnsi="Times New Roman"/>
      <w:b/>
      <w:sz w:val="22"/>
      <w:szCs w:val="22"/>
      <w:lang w:val="et-EE" w:eastAsia="ar-SA"/>
    </w:rPr>
  </w:style>
  <w:style w:type="paragraph" w:styleId="Pealkiri2">
    <w:name w:val="heading 2"/>
    <w:basedOn w:val="Pealkiri1"/>
    <w:next w:val="Normaallaad"/>
    <w:link w:val="Pealkiri2Mrk"/>
    <w:uiPriority w:val="9"/>
    <w:qFormat/>
    <w:rsid w:val="00642617"/>
    <w:pPr>
      <w:tabs>
        <w:tab w:val="clear" w:pos="432"/>
        <w:tab w:val="num" w:pos="576"/>
      </w:tabs>
      <w:ind w:left="576" w:hanging="576"/>
      <w:outlineLvl w:val="1"/>
    </w:pPr>
  </w:style>
  <w:style w:type="paragraph" w:styleId="Pealkiri3">
    <w:name w:val="heading 3"/>
    <w:basedOn w:val="Normaallaad"/>
    <w:next w:val="Normaallaad"/>
    <w:link w:val="Pealkiri3Mrk"/>
    <w:uiPriority w:val="9"/>
    <w:qFormat/>
    <w:rsid w:val="00642617"/>
    <w:pPr>
      <w:keepNext/>
      <w:tabs>
        <w:tab w:val="num" w:pos="720"/>
      </w:tabs>
      <w:suppressAutoHyphens/>
      <w:spacing w:before="240" w:after="60"/>
      <w:ind w:left="720" w:hanging="720"/>
      <w:outlineLvl w:val="2"/>
    </w:pPr>
    <w:rPr>
      <w:rFonts w:ascii="Arial" w:hAnsi="Arial" w:cs="Arial"/>
      <w:b/>
      <w:bCs/>
      <w:sz w:val="26"/>
      <w:szCs w:val="26"/>
      <w:lang w:val="et-EE" w:eastAsia="ar-SA"/>
    </w:rPr>
  </w:style>
  <w:style w:type="paragraph" w:styleId="Pealkiri4">
    <w:name w:val="heading 4"/>
    <w:basedOn w:val="Normaallaad"/>
    <w:next w:val="Normaallaad"/>
    <w:link w:val="Pealkiri4Mrk"/>
    <w:uiPriority w:val="9"/>
    <w:qFormat/>
    <w:rsid w:val="00642617"/>
    <w:pPr>
      <w:keepNext/>
      <w:tabs>
        <w:tab w:val="num" w:pos="864"/>
      </w:tabs>
      <w:suppressAutoHyphens/>
      <w:spacing w:before="240" w:after="60"/>
      <w:ind w:left="864" w:hanging="864"/>
      <w:outlineLvl w:val="3"/>
    </w:pPr>
    <w:rPr>
      <w:b/>
      <w:bCs/>
      <w:sz w:val="28"/>
      <w:szCs w:val="28"/>
      <w:lang w:val="et-EE"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642617"/>
    <w:rPr>
      <w:rFonts w:ascii="Times New Roman" w:hAnsi="Times New Roman" w:cs="Times New Roman"/>
      <w:b/>
      <w:sz w:val="22"/>
      <w:lang w:val="x-none" w:eastAsia="ar-SA" w:bidi="ar-SA"/>
    </w:rPr>
  </w:style>
  <w:style w:type="character" w:customStyle="1" w:styleId="Pealkiri2Mrk">
    <w:name w:val="Pealkiri 2 Märk"/>
    <w:basedOn w:val="Liguvaikefont"/>
    <w:link w:val="Pealkiri2"/>
    <w:uiPriority w:val="9"/>
    <w:locked/>
    <w:rsid w:val="00642617"/>
    <w:rPr>
      <w:rFonts w:ascii="Times New Roman" w:hAnsi="Times New Roman" w:cs="Times New Roman"/>
      <w:b/>
      <w:sz w:val="22"/>
      <w:lang w:val="x-none" w:eastAsia="ar-SA" w:bidi="ar-SA"/>
    </w:rPr>
  </w:style>
  <w:style w:type="character" w:customStyle="1" w:styleId="Pealkiri3Mrk">
    <w:name w:val="Pealkiri 3 Märk"/>
    <w:basedOn w:val="Liguvaikefont"/>
    <w:link w:val="Pealkiri3"/>
    <w:uiPriority w:val="9"/>
    <w:locked/>
    <w:rsid w:val="00642617"/>
    <w:rPr>
      <w:rFonts w:ascii="Arial" w:hAnsi="Arial" w:cs="Times New Roman"/>
      <w:b/>
      <w:sz w:val="26"/>
      <w:lang w:val="x-none" w:eastAsia="ar-SA" w:bidi="ar-SA"/>
    </w:rPr>
  </w:style>
  <w:style w:type="character" w:customStyle="1" w:styleId="Pealkiri4Mrk">
    <w:name w:val="Pealkiri 4 Märk"/>
    <w:basedOn w:val="Liguvaikefont"/>
    <w:link w:val="Pealkiri4"/>
    <w:uiPriority w:val="9"/>
    <w:locked/>
    <w:rsid w:val="00642617"/>
    <w:rPr>
      <w:rFonts w:ascii="Calibri" w:hAnsi="Calibri" w:cs="Times New Roman"/>
      <w:b/>
      <w:sz w:val="28"/>
      <w:lang w:val="x-none" w:eastAsia="ar-SA" w:bidi="ar-SA"/>
    </w:rPr>
  </w:style>
  <w:style w:type="character" w:customStyle="1" w:styleId="Lahendamatamainimine1">
    <w:name w:val="Lahendamata mainimine1"/>
    <w:basedOn w:val="Liguvaikefont"/>
    <w:uiPriority w:val="99"/>
    <w:semiHidden/>
    <w:unhideWhenUsed/>
    <w:rsid w:val="00A77462"/>
    <w:rPr>
      <w:rFonts w:cs="Times New Roman"/>
      <w:color w:val="808080"/>
      <w:shd w:val="clear" w:color="auto" w:fill="E6E6E6"/>
    </w:rPr>
  </w:style>
  <w:style w:type="table" w:styleId="Kontuurtabel">
    <w:name w:val="Table Grid"/>
    <w:basedOn w:val="Normaaltabel"/>
    <w:uiPriority w:val="59"/>
    <w:rsid w:val="00927A8A"/>
    <w:rPr>
      <w:rFonts w:cs="Times New Roman"/>
      <w:strik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llmrkuseviide">
    <w:name w:val="footnote reference"/>
    <w:basedOn w:val="Liguvaikefont"/>
    <w:uiPriority w:val="99"/>
    <w:rsid w:val="00927A8A"/>
    <w:rPr>
      <w:rFonts w:cs="Times New Roman"/>
      <w:b/>
      <w:vertAlign w:val="superscript"/>
    </w:rPr>
  </w:style>
  <w:style w:type="character" w:styleId="Hperlink">
    <w:name w:val="Hyperlink"/>
    <w:basedOn w:val="Liguvaikefont"/>
    <w:uiPriority w:val="99"/>
    <w:unhideWhenUsed/>
    <w:rsid w:val="00A77462"/>
    <w:rPr>
      <w:rFonts w:cs="Times New Roman"/>
      <w:color w:val="0563C1"/>
      <w:u w:val="single"/>
    </w:rPr>
  </w:style>
  <w:style w:type="character" w:styleId="Kommentaariviide">
    <w:name w:val="annotation reference"/>
    <w:basedOn w:val="Liguvaikefont"/>
    <w:uiPriority w:val="99"/>
    <w:semiHidden/>
    <w:unhideWhenUsed/>
    <w:rsid w:val="005907CB"/>
    <w:rPr>
      <w:rFonts w:cs="Times New Roman"/>
      <w:sz w:val="16"/>
    </w:rPr>
  </w:style>
  <w:style w:type="paragraph" w:styleId="Kommentaaritekst">
    <w:name w:val="annotation text"/>
    <w:basedOn w:val="Normaallaad"/>
    <w:link w:val="KommentaaritekstMrk"/>
    <w:uiPriority w:val="99"/>
    <w:unhideWhenUsed/>
    <w:rsid w:val="005907CB"/>
    <w:rPr>
      <w:sz w:val="20"/>
      <w:szCs w:val="20"/>
    </w:rPr>
  </w:style>
  <w:style w:type="character" w:customStyle="1" w:styleId="KommentaaritekstMrk">
    <w:name w:val="Kommentaari tekst Märk"/>
    <w:basedOn w:val="Liguvaikefont"/>
    <w:link w:val="Kommentaaritekst"/>
    <w:uiPriority w:val="99"/>
    <w:locked/>
    <w:rsid w:val="005907CB"/>
    <w:rPr>
      <w:rFonts w:cs="Times New Roman"/>
      <w:sz w:val="20"/>
      <w:lang w:val="en-US" w:eastAsia="en-US"/>
    </w:rPr>
  </w:style>
  <w:style w:type="paragraph" w:styleId="Jutumullitekst">
    <w:name w:val="Balloon Text"/>
    <w:basedOn w:val="Normaallaad"/>
    <w:link w:val="JutumullitekstMrk"/>
    <w:uiPriority w:val="99"/>
    <w:semiHidden/>
    <w:unhideWhenUsed/>
    <w:rsid w:val="005907CB"/>
    <w:rPr>
      <w:rFonts w:ascii="Segoe UI" w:hAnsi="Segoe UI" w:cs="Segoe UI"/>
      <w:sz w:val="18"/>
      <w:szCs w:val="18"/>
    </w:rPr>
  </w:style>
  <w:style w:type="character" w:customStyle="1" w:styleId="JutumullitekstMrk">
    <w:name w:val="Jutumullitekst Märk"/>
    <w:basedOn w:val="Liguvaikefont"/>
    <w:link w:val="Jutumullitekst"/>
    <w:uiPriority w:val="99"/>
    <w:semiHidden/>
    <w:locked/>
    <w:rsid w:val="005907CB"/>
    <w:rPr>
      <w:rFonts w:ascii="Segoe UI" w:hAnsi="Segoe UI" w:cs="Times New Roman"/>
      <w:sz w:val="18"/>
      <w:lang w:val="en-US" w:eastAsia="en-US"/>
    </w:rPr>
  </w:style>
  <w:style w:type="paragraph" w:styleId="Loendilik">
    <w:name w:val="List Paragraph"/>
    <w:basedOn w:val="Normaallaad"/>
    <w:uiPriority w:val="34"/>
    <w:qFormat/>
    <w:rsid w:val="00A975A4"/>
    <w:pPr>
      <w:spacing w:after="200" w:line="276" w:lineRule="auto"/>
      <w:ind w:left="720"/>
      <w:contextualSpacing/>
    </w:pPr>
    <w:rPr>
      <w:sz w:val="22"/>
      <w:szCs w:val="22"/>
      <w:lang w:val="et-EE"/>
    </w:rPr>
  </w:style>
  <w:style w:type="paragraph" w:styleId="Kommentaariteema">
    <w:name w:val="annotation subject"/>
    <w:basedOn w:val="Kommentaaritekst"/>
    <w:next w:val="Kommentaaritekst"/>
    <w:link w:val="KommentaariteemaMrk"/>
    <w:uiPriority w:val="99"/>
    <w:semiHidden/>
    <w:unhideWhenUsed/>
    <w:rsid w:val="005907CB"/>
    <w:rPr>
      <w:b/>
      <w:bCs/>
    </w:rPr>
  </w:style>
  <w:style w:type="character" w:customStyle="1" w:styleId="KommentaariteemaMrk">
    <w:name w:val="Kommentaari teema Märk"/>
    <w:basedOn w:val="KommentaaritekstMrk"/>
    <w:link w:val="Kommentaariteema"/>
    <w:uiPriority w:val="99"/>
    <w:semiHidden/>
    <w:locked/>
    <w:rsid w:val="005907CB"/>
    <w:rPr>
      <w:rFonts w:cs="Times New Roman"/>
      <w:b/>
      <w:sz w:val="20"/>
      <w:lang w:val="en-US" w:eastAsia="en-US"/>
    </w:rPr>
  </w:style>
  <w:style w:type="character" w:customStyle="1" w:styleId="CommentSubjectChar">
    <w:name w:val="Comment Subject Char"/>
    <w:basedOn w:val="KommentaaritekstMrk"/>
    <w:uiPriority w:val="99"/>
    <w:semiHidden/>
    <w:rPr>
      <w:rFonts w:cs="Times New Roman"/>
      <w:b/>
      <w:bCs/>
      <w:sz w:val="20"/>
      <w:lang w:val="en-US" w:eastAsia="en-US"/>
    </w:rPr>
  </w:style>
  <w:style w:type="character" w:customStyle="1" w:styleId="KommentaariteemaMrk5">
    <w:name w:val="Kommentaari teema Märk5"/>
    <w:basedOn w:val="KommentaaritekstMrk"/>
    <w:uiPriority w:val="99"/>
    <w:semiHidden/>
    <w:rPr>
      <w:rFonts w:cs="Times New Roman"/>
      <w:b/>
      <w:bCs/>
      <w:sz w:val="20"/>
      <w:lang w:val="en-US" w:eastAsia="en-US"/>
    </w:rPr>
  </w:style>
  <w:style w:type="character" w:customStyle="1" w:styleId="KommentaariteemaMrk7">
    <w:name w:val="Kommentaari teema Märk7"/>
    <w:basedOn w:val="KommentaaritekstMrk"/>
    <w:uiPriority w:val="99"/>
    <w:semiHidden/>
    <w:rPr>
      <w:rFonts w:cs="Times New Roman"/>
      <w:b/>
      <w:bCs/>
      <w:sz w:val="20"/>
      <w:lang w:val="en-US" w:eastAsia="en-US"/>
    </w:rPr>
  </w:style>
  <w:style w:type="character" w:customStyle="1" w:styleId="KommentaariteemaMrk6">
    <w:name w:val="Kommentaari teema Märk6"/>
    <w:uiPriority w:val="99"/>
    <w:semiHidden/>
    <w:rPr>
      <w:b/>
      <w:sz w:val="20"/>
      <w:lang w:val="en-US" w:eastAsia="en-US"/>
    </w:rPr>
  </w:style>
  <w:style w:type="character" w:customStyle="1" w:styleId="CommentSubjectChar7">
    <w:name w:val="Comment Subject Char7"/>
    <w:uiPriority w:val="99"/>
    <w:semiHidden/>
    <w:rPr>
      <w:b/>
      <w:sz w:val="20"/>
      <w:lang w:val="en-US" w:eastAsia="en-US"/>
    </w:rPr>
  </w:style>
  <w:style w:type="character" w:customStyle="1" w:styleId="CommentSubjectChar14">
    <w:name w:val="Comment Subject Char14"/>
    <w:uiPriority w:val="99"/>
    <w:semiHidden/>
    <w:rPr>
      <w:b/>
      <w:sz w:val="20"/>
      <w:lang w:val="en-US" w:eastAsia="en-US"/>
    </w:rPr>
  </w:style>
  <w:style w:type="character" w:customStyle="1" w:styleId="CommentSubjectChar13">
    <w:name w:val="Comment Subject Char13"/>
    <w:uiPriority w:val="99"/>
    <w:semiHidden/>
    <w:rPr>
      <w:b/>
      <w:sz w:val="20"/>
      <w:lang w:val="en-US" w:eastAsia="en-US"/>
    </w:rPr>
  </w:style>
  <w:style w:type="character" w:customStyle="1" w:styleId="CommentSubjectChar12">
    <w:name w:val="Comment Subject Char12"/>
    <w:uiPriority w:val="99"/>
    <w:semiHidden/>
    <w:rPr>
      <w:b/>
      <w:sz w:val="20"/>
      <w:lang w:val="en-US" w:eastAsia="en-US"/>
    </w:rPr>
  </w:style>
  <w:style w:type="character" w:customStyle="1" w:styleId="CommentSubjectChar10">
    <w:name w:val="Comment Subject Char10"/>
    <w:uiPriority w:val="99"/>
    <w:semiHidden/>
    <w:rPr>
      <w:b/>
      <w:sz w:val="20"/>
      <w:lang w:val="en-US" w:eastAsia="en-US"/>
    </w:rPr>
  </w:style>
  <w:style w:type="character" w:customStyle="1" w:styleId="CommentSubjectChar9">
    <w:name w:val="Comment Subject Char9"/>
    <w:uiPriority w:val="99"/>
    <w:semiHidden/>
    <w:rPr>
      <w:b/>
      <w:sz w:val="20"/>
      <w:lang w:val="en-US" w:eastAsia="en-US"/>
    </w:rPr>
  </w:style>
  <w:style w:type="character" w:customStyle="1" w:styleId="CommentSubjectChar8">
    <w:name w:val="Comment Subject Char8"/>
    <w:uiPriority w:val="99"/>
    <w:semiHidden/>
    <w:rPr>
      <w:b/>
      <w:sz w:val="20"/>
      <w:lang w:val="en-US" w:eastAsia="en-US"/>
    </w:rPr>
  </w:style>
  <w:style w:type="character" w:customStyle="1" w:styleId="KommentaariteemaMrk4">
    <w:name w:val="Kommentaari teema Märk4"/>
    <w:uiPriority w:val="99"/>
    <w:semiHidden/>
    <w:rPr>
      <w:b/>
      <w:sz w:val="20"/>
      <w:lang w:val="en-US" w:eastAsia="en-US"/>
    </w:rPr>
  </w:style>
  <w:style w:type="character" w:customStyle="1" w:styleId="CommentSubjectChar3">
    <w:name w:val="Comment Subject Char3"/>
    <w:uiPriority w:val="99"/>
    <w:semiHidden/>
    <w:rPr>
      <w:b/>
      <w:sz w:val="20"/>
      <w:lang w:val="en-US" w:eastAsia="en-US"/>
    </w:rPr>
  </w:style>
  <w:style w:type="character" w:customStyle="1" w:styleId="CommentSubjectChar6">
    <w:name w:val="Comment Subject Char6"/>
    <w:uiPriority w:val="99"/>
    <w:semiHidden/>
    <w:rPr>
      <w:b/>
      <w:sz w:val="20"/>
      <w:lang w:val="en-US" w:eastAsia="en-US"/>
    </w:rPr>
  </w:style>
  <w:style w:type="character" w:customStyle="1" w:styleId="CommentSubjectChar5">
    <w:name w:val="Comment Subject Char5"/>
    <w:uiPriority w:val="99"/>
    <w:semiHidden/>
    <w:rPr>
      <w:b/>
      <w:sz w:val="20"/>
      <w:lang w:val="en-US" w:eastAsia="en-US"/>
    </w:rPr>
  </w:style>
  <w:style w:type="character" w:customStyle="1" w:styleId="AllmrkusetekstMrk9">
    <w:name w:val="Allmärkuse tekst Märk9"/>
    <w:aliases w:val="Footnote Text Char1 Märk10,Footnote Text Char Char Char Char Märk10,Footnote Text Char Char Märk10,Footnote Text Char Char Char Char Char Märk10,Footnote Text Char Char Char Char Char Char Char Char Märk10,fn Märk,fn Char1 Märk"/>
    <w:link w:val="Allmrkusetekst"/>
    <w:uiPriority w:val="99"/>
    <w:semiHidden/>
    <w:locked/>
    <w:rsid w:val="00F6116D"/>
    <w:rPr>
      <w:sz w:val="20"/>
      <w:lang w:val="en-US" w:eastAsia="en-US"/>
    </w:rPr>
  </w:style>
  <w:style w:type="character" w:customStyle="1" w:styleId="AllmrkusetekstMrk1">
    <w:name w:val="Allmärkuse tekst Märk1"/>
    <w:aliases w:val="Footnote Text Char1 Märk1,Footnote Text Char Char Char Char Märk1,Footnote Text Char Char Märk1,Footnote Text Char Char Char Char Char Märk1,Footnote Text Char Char Char Char Char Char Char Char Märk1"/>
    <w:uiPriority w:val="99"/>
    <w:semiHidden/>
    <w:rPr>
      <w:sz w:val="20"/>
      <w:lang w:val="en-US" w:eastAsia="en-US"/>
    </w:rPr>
  </w:style>
  <w:style w:type="character" w:customStyle="1" w:styleId="CommentSubjectChar4">
    <w:name w:val="Comment Subject Char4"/>
    <w:uiPriority w:val="99"/>
    <w:semiHidden/>
    <w:rPr>
      <w:b/>
      <w:sz w:val="20"/>
      <w:lang w:val="en-US" w:eastAsia="en-US"/>
    </w:rPr>
  </w:style>
  <w:style w:type="character" w:customStyle="1" w:styleId="KommentaariteemaMrk3">
    <w:name w:val="Kommentaari teema Märk3"/>
    <w:uiPriority w:val="99"/>
    <w:semiHidden/>
    <w:rPr>
      <w:b/>
      <w:sz w:val="20"/>
      <w:lang w:val="en-US" w:eastAsia="en-US"/>
    </w:rPr>
  </w:style>
  <w:style w:type="character" w:customStyle="1" w:styleId="CommentSubjectChar2">
    <w:name w:val="Comment Subject Char2"/>
    <w:uiPriority w:val="99"/>
    <w:semiHidden/>
    <w:rPr>
      <w:b/>
      <w:sz w:val="20"/>
      <w:lang w:val="en-US" w:eastAsia="en-US"/>
    </w:rPr>
  </w:style>
  <w:style w:type="character" w:customStyle="1" w:styleId="KommentaariteemaMrk1">
    <w:name w:val="Kommentaari teema Märk1"/>
    <w:uiPriority w:val="99"/>
    <w:semiHidden/>
    <w:rPr>
      <w:b/>
      <w:sz w:val="20"/>
      <w:lang w:val="en-US" w:eastAsia="en-US"/>
    </w:rPr>
  </w:style>
  <w:style w:type="character" w:customStyle="1" w:styleId="KommentaariteemaMrk2">
    <w:name w:val="Kommentaari teema Märk2"/>
    <w:uiPriority w:val="99"/>
    <w:semiHidden/>
    <w:rPr>
      <w:b/>
      <w:sz w:val="20"/>
      <w:lang w:val="en-US" w:eastAsia="en-US"/>
    </w:rPr>
  </w:style>
  <w:style w:type="character" w:customStyle="1" w:styleId="CommentSubjectChar1">
    <w:name w:val="Comment Subject Char1"/>
    <w:uiPriority w:val="99"/>
    <w:semiHidden/>
    <w:rPr>
      <w:b/>
      <w:sz w:val="20"/>
      <w:lang w:val="en-US" w:eastAsia="en-US"/>
    </w:rPr>
  </w:style>
  <w:style w:type="character" w:customStyle="1" w:styleId="CommentSubjectChar11">
    <w:name w:val="Comment Subject Char11"/>
    <w:uiPriority w:val="99"/>
    <w:semiHidden/>
    <w:rPr>
      <w:b/>
      <w:sz w:val="20"/>
      <w:lang w:val="en-US" w:eastAsia="en-US"/>
    </w:rPr>
  </w:style>
  <w:style w:type="character" w:customStyle="1" w:styleId="FootnoteTextChar2">
    <w:name w:val="Footnote Text Char2"/>
    <w:aliases w:val="Footnote Text Char1 Char1,Footnote Text Char Char Char Char Char11,Footnote Text Char Char Char11,Footnote Text Char Char Char Char Char Char1,Footnote Text Char Char Char Char Char Char Char Char Char1"/>
    <w:uiPriority w:val="99"/>
    <w:semiHidden/>
    <w:rPr>
      <w:sz w:val="20"/>
      <w:lang w:val="en-US" w:eastAsia="en-US"/>
    </w:rPr>
  </w:style>
  <w:style w:type="paragraph" w:styleId="Allmrkusetekst">
    <w:name w:val="footnote text"/>
    <w:aliases w:val="Footnote Text Char1,Footnote Text Char Char Char Char,Footnote Text Char Char,Footnote Text Char Char Char Char Char,Footnote Text Char Char Char Char Char Char Char Char,Footnote Text Char Char Char,Footnote Text Char Char1,fn,fn Char1"/>
    <w:basedOn w:val="Normaallaad"/>
    <w:link w:val="AllmrkusetekstMrk9"/>
    <w:uiPriority w:val="99"/>
    <w:unhideWhenUsed/>
    <w:qFormat/>
    <w:rsid w:val="00F6116D"/>
    <w:rPr>
      <w:sz w:val="20"/>
      <w:szCs w:val="20"/>
    </w:rPr>
  </w:style>
  <w:style w:type="character" w:customStyle="1" w:styleId="AllmrkusetekstMrk">
    <w:name w:val="Allmärkuse tekst Märk"/>
    <w:aliases w:val="Footnote Text Char1 Märk,Footnote Text Char Char Char Char Märk,Footnote Text Char Char Märk,Footnote Text Char Char Char Char Char Märk,Footnote Text Char Char Char Char Char Char Char Char Märk,Footnote Text Char Char Char Märk"/>
    <w:basedOn w:val="Liguvaikefont"/>
    <w:uiPriority w:val="99"/>
    <w:rPr>
      <w:rFonts w:cs="Times New Roman"/>
      <w:lang w:val="en-US" w:eastAsia="en-US"/>
    </w:rPr>
  </w:style>
  <w:style w:type="character" w:customStyle="1" w:styleId="AllmrkusetekstMrk21">
    <w:name w:val="Allmärkuse tekst Märk21"/>
    <w:aliases w:val="Footnote Text Char1 Märk21,Footnote Text Char Char Char Char Märk21,Footnote Text Char Char Märk21,Footnote Text Char Char Char Char Char Märk21,Footnote Text Char Char Char Char Char Char Char Char Märk21"/>
    <w:basedOn w:val="Liguvaikefont"/>
    <w:uiPriority w:val="99"/>
    <w:semiHidden/>
    <w:rPr>
      <w:rFonts w:cs="Times New Roman"/>
      <w:lang w:val="en-US" w:eastAsia="en-US"/>
    </w:rPr>
  </w:style>
  <w:style w:type="character" w:customStyle="1" w:styleId="AllmrkusetekstMrk20">
    <w:name w:val="Allmärkuse tekst Märk20"/>
    <w:aliases w:val="Footnote Text Char1 Märk20,Footnote Text Char Char Char Char Märk20,Footnote Text Char Char Märk20,Footnote Text Char Char Char Char Char Märk20,Footnote Text Char Char Char Char Char Char Char Char Märk20"/>
    <w:basedOn w:val="Liguvaikefont"/>
    <w:uiPriority w:val="99"/>
    <w:semiHidden/>
    <w:rPr>
      <w:rFonts w:cs="Times New Roman"/>
      <w:lang w:val="en-US" w:eastAsia="en-US"/>
    </w:rPr>
  </w:style>
  <w:style w:type="character" w:customStyle="1" w:styleId="AllmrkusetekstMrk19">
    <w:name w:val="Allmärkuse tekst Märk19"/>
    <w:aliases w:val="Footnote Text Char1 Märk19,Footnote Text Char Char Char Char Märk19,Footnote Text Char Char Märk19,Footnote Text Char Char Char Char Char Märk19,Footnote Text Char Char Char Char Char Char Char Char Märk19"/>
    <w:basedOn w:val="Liguvaikefont"/>
    <w:uiPriority w:val="99"/>
    <w:semiHidden/>
    <w:rPr>
      <w:rFonts w:cs="Times New Roman"/>
      <w:lang w:val="en-US" w:eastAsia="en-US"/>
    </w:rPr>
  </w:style>
  <w:style w:type="character" w:customStyle="1" w:styleId="AllmrkusetekstMrk18">
    <w:name w:val="Allmärkuse tekst Märk18"/>
    <w:aliases w:val="Footnote Text Char1 Märk18,Footnote Text Char Char Char Char Märk18,Footnote Text Char Char Märk18,Footnote Text Char Char Char Char Char Märk18,Footnote Text Char Char Char Char Char Char Char Char Märk18"/>
    <w:basedOn w:val="Liguvaikefont"/>
    <w:uiPriority w:val="99"/>
    <w:semiHidden/>
    <w:rPr>
      <w:rFonts w:cs="Times New Roman"/>
      <w:lang w:val="en-US" w:eastAsia="en-US"/>
    </w:rPr>
  </w:style>
  <w:style w:type="character" w:customStyle="1" w:styleId="AllmrkusetekstMrk17">
    <w:name w:val="Allmärkuse tekst Märk17"/>
    <w:aliases w:val="Footnote Text Char1 Märk17,Footnote Text Char Char Char Char Märk17,Footnote Text Char Char Märk17,Footnote Text Char Char Char Char Char Märk17,Footnote Text Char Char Char Char Char Char Char Char Märk17"/>
    <w:basedOn w:val="Liguvaikefont"/>
    <w:uiPriority w:val="99"/>
    <w:semiHidden/>
    <w:rPr>
      <w:rFonts w:cs="Times New Roman"/>
      <w:lang w:val="en-US" w:eastAsia="en-US"/>
    </w:rPr>
  </w:style>
  <w:style w:type="character" w:customStyle="1" w:styleId="AllmrkusetekstMrk16">
    <w:name w:val="Allmärkuse tekst Märk16"/>
    <w:aliases w:val="Footnote Text Char1 Märk16,Footnote Text Char Char Char Char Märk16,Footnote Text Char Char Märk16,Footnote Text Char Char Char Char Char Märk16,Footnote Text Char Char Char Char Char Char Char Char Märk16"/>
    <w:basedOn w:val="Liguvaikefont"/>
    <w:uiPriority w:val="99"/>
    <w:semiHidden/>
    <w:rPr>
      <w:rFonts w:cs="Times New Roman"/>
      <w:lang w:val="en-US" w:eastAsia="en-US"/>
    </w:rPr>
  </w:style>
  <w:style w:type="character" w:customStyle="1" w:styleId="AllmrkusetekstMrk15">
    <w:name w:val="Allmärkuse tekst Märk15"/>
    <w:aliases w:val="Footnote Text Char1 Märk15,Footnote Text Char Char Char Char Märk15,Footnote Text Char Char Märk15,Footnote Text Char Char Char Char Char Märk15,Footnote Text Char Char Char Char Char Char Char Char Märk15"/>
    <w:basedOn w:val="Liguvaikefont"/>
    <w:uiPriority w:val="99"/>
    <w:semiHidden/>
    <w:rPr>
      <w:rFonts w:cs="Times New Roman"/>
      <w:lang w:val="en-US" w:eastAsia="en-US"/>
    </w:rPr>
  </w:style>
  <w:style w:type="character" w:customStyle="1" w:styleId="AllmrkusetekstMrk14">
    <w:name w:val="Allmärkuse tekst Märk14"/>
    <w:aliases w:val="Footnote Text Char1 Märk14,Footnote Text Char Char Char Char Märk14,Footnote Text Char Char Märk14,Footnote Text Char Char Char Char Char Märk14,Footnote Text Char Char Char Char Char Char Char Char Märk14"/>
    <w:basedOn w:val="Liguvaikefont"/>
    <w:uiPriority w:val="99"/>
    <w:semiHidden/>
    <w:rPr>
      <w:rFonts w:cs="Times New Roman"/>
      <w:lang w:val="en-US" w:eastAsia="en-US"/>
    </w:rPr>
  </w:style>
  <w:style w:type="character" w:customStyle="1" w:styleId="AllmrkusetekstMrk13">
    <w:name w:val="Allmärkuse tekst Märk13"/>
    <w:aliases w:val="Footnote Text Char1 Märk13,Footnote Text Char Char Char Char Märk13,Footnote Text Char Char Märk13,Footnote Text Char Char Char Char Char Märk13,Footnote Text Char Char Char Char Char Char Char Char Märk13"/>
    <w:basedOn w:val="Liguvaikefont"/>
    <w:uiPriority w:val="99"/>
    <w:semiHidden/>
    <w:rPr>
      <w:rFonts w:cs="Times New Roman"/>
      <w:lang w:val="en-US" w:eastAsia="en-US"/>
    </w:rPr>
  </w:style>
  <w:style w:type="character" w:customStyle="1" w:styleId="AllmrkusetekstMrk12">
    <w:name w:val="Allmärkuse tekst Märk12"/>
    <w:aliases w:val="Footnote Text Char1 Märk12,Footnote Text Char Char Char Char Märk12,Footnote Text Char Char Märk12,Footnote Text Char Char Char Char Char Märk12,Footnote Text Char Char Char Char Char Char Char Char Märk12"/>
    <w:basedOn w:val="Liguvaikefont"/>
    <w:uiPriority w:val="99"/>
    <w:semiHidden/>
    <w:rPr>
      <w:rFonts w:cs="Times New Roman"/>
      <w:lang w:val="en-US" w:eastAsia="en-US"/>
    </w:rPr>
  </w:style>
  <w:style w:type="character" w:customStyle="1" w:styleId="AllmrkusetekstMrk10">
    <w:name w:val="Allmärkuse tekst Märk10"/>
    <w:aliases w:val="Footnote Text Char1 Märk11,Footnote Text Char Char Char Char Märk11,Footnote Text Char Char Märk11,Footnote Text Char Char Char Char Char Märk11,Footnote Text Char Char Char Char Char Char Char Char Märk11"/>
    <w:basedOn w:val="Liguvaikefont"/>
    <w:uiPriority w:val="99"/>
    <w:semiHidden/>
    <w:rPr>
      <w:rFonts w:cs="Times New Roman"/>
      <w:lang w:val="en-US" w:eastAsia="en-US"/>
    </w:rPr>
  </w:style>
  <w:style w:type="character" w:customStyle="1" w:styleId="FootnoteTextChar">
    <w:name w:val="Footnote Text Char"/>
    <w:aliases w:val="Footnote Text Char1 Char,Footnote Text Char Char Char Char Char1,Footnote Text Char Char Char1,Footnote Text Char Char Char Char Char Char,Footnote Text Char Char Char Char Char Char Char Char Char,Footnote Text Char Char Char Char1"/>
    <w:basedOn w:val="Liguvaikefont"/>
    <w:uiPriority w:val="99"/>
    <w:semiHidden/>
    <w:rPr>
      <w:rFonts w:cs="Times New Roman"/>
      <w:lang w:val="en-US" w:eastAsia="en-US"/>
    </w:rPr>
  </w:style>
  <w:style w:type="character" w:customStyle="1" w:styleId="AllmrkusetekstMrk6">
    <w:name w:val="Allmärkuse tekst Märk6"/>
    <w:aliases w:val="Footnote Text Char1 Märk7,Footnote Text Char Char Char Char Märk7,Footnote Text Char Char Märk7,Footnote Text Char Char Char Char Char Märk7,Footnote Text Char Char Char Char Char Char Char Char Märk7"/>
    <w:basedOn w:val="Liguvaikefont"/>
    <w:uiPriority w:val="99"/>
    <w:semiHidden/>
    <w:rPr>
      <w:rFonts w:cs="Times New Roman"/>
      <w:lang w:val="en-US" w:eastAsia="en-US"/>
    </w:rPr>
  </w:style>
  <w:style w:type="character" w:customStyle="1" w:styleId="AllmrkusetekstMrk8">
    <w:name w:val="Allmärkuse tekst Märk8"/>
    <w:aliases w:val="Footnote Text Char1 Märk9,Footnote Text Char Char Char Char Märk9,Footnote Text Char Char Märk9,Footnote Text Char Char Char Char Char Märk9,Footnote Text Char Char Char Char Char Char Char Char Märk9"/>
    <w:basedOn w:val="Liguvaikefont"/>
    <w:uiPriority w:val="99"/>
    <w:semiHidden/>
    <w:rPr>
      <w:rFonts w:cs="Times New Roman"/>
      <w:lang w:val="en-US" w:eastAsia="en-US"/>
    </w:rPr>
  </w:style>
  <w:style w:type="character" w:customStyle="1" w:styleId="AllmrkusetekstMrk7">
    <w:name w:val="Allmärkuse tekst Märk7"/>
    <w:aliases w:val="Footnote Text Char1 Märk8,Footnote Text Char Char Char Char Märk8,Footnote Text Char Char Märk8,Footnote Text Char Char Char Char Char Märk8,Footnote Text Char Char Char Char Char Char Char Char Märk8"/>
    <w:uiPriority w:val="99"/>
    <w:semiHidden/>
    <w:rPr>
      <w:sz w:val="20"/>
      <w:lang w:val="en-US" w:eastAsia="en-US"/>
    </w:rPr>
  </w:style>
  <w:style w:type="character" w:customStyle="1" w:styleId="FootnoteTextChar11">
    <w:name w:val="Footnote Text Char11"/>
    <w:aliases w:val="Footnote Text Char1 Char10,Footnote Text Char Char Char Char Char116,Footnote Text Char Char Char116,Footnote Text Char Char Char Char Char Char10,Footnote Text Char Char Char Char Char Char Char Char Char10"/>
    <w:uiPriority w:val="99"/>
    <w:semiHidden/>
    <w:rPr>
      <w:sz w:val="20"/>
      <w:lang w:val="en-US" w:eastAsia="en-US"/>
    </w:rPr>
  </w:style>
  <w:style w:type="character" w:customStyle="1" w:styleId="FootnoteTextChar17">
    <w:name w:val="Footnote Text Char17"/>
    <w:aliases w:val="Footnote Text Char1 Char16,Footnote Text Char Char Char Char Char115,Footnote Text Char Char Char115,Footnote Text Char Char Char Char Char Char16,Footnote Text Char Char Char Char Char Char Char Char Char16"/>
    <w:uiPriority w:val="99"/>
    <w:semiHidden/>
    <w:rPr>
      <w:sz w:val="20"/>
      <w:lang w:val="en-US" w:eastAsia="en-US"/>
    </w:rPr>
  </w:style>
  <w:style w:type="character" w:customStyle="1" w:styleId="FootnoteTextChar16">
    <w:name w:val="Footnote Text Char16"/>
    <w:aliases w:val="Footnote Text Char1 Char15,Footnote Text Char Char Char Char Char114,Footnote Text Char Char Char114,Footnote Text Char Char Char Char Char Char15,Footnote Text Char Char Char Char Char Char Char Char Char15"/>
    <w:uiPriority w:val="99"/>
    <w:semiHidden/>
    <w:rPr>
      <w:sz w:val="20"/>
      <w:lang w:val="en-US" w:eastAsia="en-US"/>
    </w:rPr>
  </w:style>
  <w:style w:type="character" w:customStyle="1" w:styleId="FootnoteTextChar15">
    <w:name w:val="Footnote Text Char15"/>
    <w:aliases w:val="Footnote Text Char1 Char14,Footnote Text Char Char Char Char Char113,Footnote Text Char Char Char113,Footnote Text Char Char Char Char Char Char14,Footnote Text Char Char Char Char Char Char Char Char Char14"/>
    <w:uiPriority w:val="99"/>
    <w:semiHidden/>
    <w:rPr>
      <w:sz w:val="20"/>
      <w:lang w:val="en-US" w:eastAsia="en-US"/>
    </w:rPr>
  </w:style>
  <w:style w:type="character" w:customStyle="1" w:styleId="FootnoteTextChar14">
    <w:name w:val="Footnote Text Char14"/>
    <w:aliases w:val="Footnote Text Char1 Char13,Footnote Text Char Char Char Char Char112,Footnote Text Char Char Char112,Footnote Text Char Char Char Char Char Char13,Footnote Text Char Char Char Char Char Char Char Char Char13"/>
    <w:uiPriority w:val="99"/>
    <w:semiHidden/>
    <w:rPr>
      <w:sz w:val="20"/>
      <w:lang w:val="en-US" w:eastAsia="en-US"/>
    </w:rPr>
  </w:style>
  <w:style w:type="character" w:customStyle="1" w:styleId="FootnoteTextChar13">
    <w:name w:val="Footnote Text Char13"/>
    <w:aliases w:val="Footnote Text Char1 Char12,Footnote Text Char Char Char Char Char111,Footnote Text Char Char Char111,Footnote Text Char Char Char Char Char Char12,Footnote Text Char Char Char Char Char Char Char Char Char12"/>
    <w:uiPriority w:val="99"/>
    <w:semiHidden/>
    <w:rPr>
      <w:sz w:val="20"/>
      <w:lang w:val="en-US" w:eastAsia="en-US"/>
    </w:rPr>
  </w:style>
  <w:style w:type="character" w:customStyle="1" w:styleId="FootnoteTextChar12">
    <w:name w:val="Footnote Text Char12"/>
    <w:aliases w:val="Footnote Text Char1 Char11,Footnote Text Char Char Char Char Char110,Footnote Text Char Char Char110,Footnote Text Char Char Char Char Char Char11,Footnote Text Char Char Char Char Char Char Char Char Char11"/>
    <w:uiPriority w:val="99"/>
    <w:semiHidden/>
    <w:rPr>
      <w:sz w:val="20"/>
      <w:lang w:val="en-US" w:eastAsia="en-US"/>
    </w:rPr>
  </w:style>
  <w:style w:type="character" w:customStyle="1" w:styleId="AllmrkusetekstMrk5">
    <w:name w:val="Allmärkuse tekst Märk5"/>
    <w:aliases w:val="Footnote Text Char1 Märk6,Footnote Text Char Char Char Char Märk6,Footnote Text Char Char Märk6,Footnote Text Char Char Char Char Char Märk6,Footnote Text Char Char Char Char Char Char Char Char Märk6"/>
    <w:uiPriority w:val="99"/>
    <w:semiHidden/>
    <w:rPr>
      <w:sz w:val="20"/>
      <w:lang w:val="en-US" w:eastAsia="en-US"/>
    </w:rPr>
  </w:style>
  <w:style w:type="character" w:customStyle="1" w:styleId="FootnoteTextChar7">
    <w:name w:val="Footnote Text Char7"/>
    <w:aliases w:val="Footnote Text Char1 Char6,Footnote Text Char Char Char Char Char19,Footnote Text Char Char Char19,Footnote Text Char Char Char Char Char Char6,Footnote Text Char Char Char Char Char Char Char Char Char6"/>
    <w:uiPriority w:val="99"/>
    <w:semiHidden/>
    <w:rPr>
      <w:sz w:val="20"/>
      <w:lang w:val="en-US" w:eastAsia="en-US"/>
    </w:rPr>
  </w:style>
  <w:style w:type="character" w:customStyle="1" w:styleId="FootnoteTextChar10">
    <w:name w:val="Footnote Text Char10"/>
    <w:aliases w:val="Footnote Text Char1 Char9,Footnote Text Char Char Char Char Char18,Footnote Text Char Char Char18,Footnote Text Char Char Char Char Char Char9,Footnote Text Char Char Char Char Char Char Char Char Char9"/>
    <w:uiPriority w:val="99"/>
    <w:semiHidden/>
    <w:rPr>
      <w:sz w:val="20"/>
      <w:lang w:val="en-US" w:eastAsia="en-US"/>
    </w:rPr>
  </w:style>
  <w:style w:type="character" w:customStyle="1" w:styleId="FootnoteTextChar9">
    <w:name w:val="Footnote Text Char9"/>
    <w:aliases w:val="Footnote Text Char1 Char8,Footnote Text Char Char Char Char Char17,Footnote Text Char Char Char17,Footnote Text Char Char Char Char Char Char8,Footnote Text Char Char Char Char Char Char Char Char Char8"/>
    <w:uiPriority w:val="99"/>
    <w:semiHidden/>
    <w:rPr>
      <w:sz w:val="20"/>
      <w:lang w:val="en-US" w:eastAsia="en-US"/>
    </w:rPr>
  </w:style>
  <w:style w:type="character" w:customStyle="1" w:styleId="FootnoteTextChar8">
    <w:name w:val="Footnote Text Char8"/>
    <w:aliases w:val="Footnote Text Char1 Char7,Footnote Text Char Char Char Char Char16,Footnote Text Char Char Char16,Footnote Text Char Char Char Char Char Char7,Footnote Text Char Char Char Char Char Char Char Char Char7"/>
    <w:uiPriority w:val="99"/>
    <w:semiHidden/>
    <w:rPr>
      <w:sz w:val="20"/>
      <w:lang w:val="en-US" w:eastAsia="en-US"/>
    </w:rPr>
  </w:style>
  <w:style w:type="character" w:customStyle="1" w:styleId="AllmrkusetekstMrk4">
    <w:name w:val="Allmärkuse tekst Märk4"/>
    <w:aliases w:val="Footnote Text Char1 Märk5,Footnote Text Char Char Char Char Märk5,Footnote Text Char Char Märk5,Footnote Text Char Char Char Char Char Märk5,Footnote Text Char Char Char Char Char Char Char Char Märk5"/>
    <w:uiPriority w:val="99"/>
    <w:semiHidden/>
    <w:rPr>
      <w:sz w:val="20"/>
      <w:lang w:val="en-US" w:eastAsia="en-US"/>
    </w:rPr>
  </w:style>
  <w:style w:type="character" w:customStyle="1" w:styleId="FootnoteTextChar6">
    <w:name w:val="Footnote Text Char6"/>
    <w:aliases w:val="Footnote Text Char1 Char5,Footnote Text Char Char Char Char Char15,Footnote Text Char Char Char15,Footnote Text Char Char Char Char Char Char5,Footnote Text Char Char Char Char Char Char Char Char Char5"/>
    <w:uiPriority w:val="99"/>
    <w:semiHidden/>
    <w:rPr>
      <w:sz w:val="20"/>
      <w:lang w:val="en-US" w:eastAsia="en-US"/>
    </w:rPr>
  </w:style>
  <w:style w:type="character" w:customStyle="1" w:styleId="AllmrkusetekstMrk2">
    <w:name w:val="Allmärkuse tekst Märk2"/>
    <w:aliases w:val="Footnote Text Char1 Märk3,Footnote Text Char Char Char Char Märk3,Footnote Text Char Char Märk3,Footnote Text Char Char Char Char Char Märk3,Footnote Text Char Char Char Char Char Char Char Char Märk3"/>
    <w:uiPriority w:val="99"/>
    <w:semiHidden/>
    <w:rPr>
      <w:sz w:val="20"/>
      <w:lang w:val="en-US" w:eastAsia="en-US"/>
    </w:rPr>
  </w:style>
  <w:style w:type="character" w:customStyle="1" w:styleId="AllmrkusetekstMrk3">
    <w:name w:val="Allmärkuse tekst Märk3"/>
    <w:aliases w:val="Footnote Text Char1 Märk4,Footnote Text Char Char Char Char Märk4,Footnote Text Char Char Märk4,Footnote Text Char Char Char Char Char Märk4,Footnote Text Char Char Char Char Char Char Char Char Märk4"/>
    <w:uiPriority w:val="99"/>
    <w:semiHidden/>
    <w:rPr>
      <w:sz w:val="20"/>
      <w:lang w:val="en-US" w:eastAsia="en-US"/>
    </w:rPr>
  </w:style>
  <w:style w:type="character" w:customStyle="1" w:styleId="FootnoteTextChar3">
    <w:name w:val="Footnote Text Char3"/>
    <w:aliases w:val="Footnote Text Char1 Char2,Footnote Text Char Char Char Char Char14,Footnote Text Char Char Char14,Footnote Text Char Char Char Char Char Char2,Footnote Text Char Char Char Char Char Char Char Char Char2"/>
    <w:uiPriority w:val="99"/>
    <w:semiHidden/>
    <w:rPr>
      <w:sz w:val="20"/>
      <w:lang w:val="en-US" w:eastAsia="en-US"/>
    </w:rPr>
  </w:style>
  <w:style w:type="character" w:customStyle="1" w:styleId="FootnoteTextChar5">
    <w:name w:val="Footnote Text Char5"/>
    <w:aliases w:val="Footnote Text Char1 Char4,Footnote Text Char Char Char Char Char13,Footnote Text Char Char Char13,Footnote Text Char Char Char Char Char Char4,Footnote Text Char Char Char Char Char Char Char Char Char4"/>
    <w:uiPriority w:val="99"/>
    <w:semiHidden/>
    <w:rPr>
      <w:sz w:val="20"/>
      <w:lang w:val="en-US" w:eastAsia="en-US"/>
    </w:rPr>
  </w:style>
  <w:style w:type="character" w:customStyle="1" w:styleId="FootnoteTextChar4">
    <w:name w:val="Footnote Text Char4"/>
    <w:aliases w:val="Footnote Text Char1 Char3,Footnote Text Char Char Char Char Char12,Footnote Text Char Char Char12,Footnote Text Char Char Char Char Char Char3,Footnote Text Char Char Char Char Char Char Char Char Char3"/>
    <w:uiPriority w:val="99"/>
    <w:semiHidden/>
    <w:rPr>
      <w:sz w:val="20"/>
      <w:lang w:val="en-US" w:eastAsia="en-US"/>
    </w:rPr>
  </w:style>
  <w:style w:type="paragraph" w:customStyle="1" w:styleId="numbriganormal">
    <w:name w:val="numbriga normal"/>
    <w:basedOn w:val="Normaallaad"/>
    <w:qFormat/>
    <w:rsid w:val="00843555"/>
    <w:pPr>
      <w:numPr>
        <w:numId w:val="1"/>
      </w:numPr>
      <w:spacing w:line="288" w:lineRule="auto"/>
      <w:jc w:val="both"/>
    </w:pPr>
    <w:rPr>
      <w:sz w:val="22"/>
      <w:szCs w:val="22"/>
      <w:lang w:val="et-EE"/>
    </w:rPr>
  </w:style>
  <w:style w:type="paragraph" w:styleId="Pis">
    <w:name w:val="header"/>
    <w:basedOn w:val="Normaallaad"/>
    <w:link w:val="PisMrk"/>
    <w:uiPriority w:val="99"/>
    <w:unhideWhenUsed/>
    <w:rsid w:val="0040500F"/>
    <w:pPr>
      <w:tabs>
        <w:tab w:val="center" w:pos="4536"/>
        <w:tab w:val="right" w:pos="9072"/>
      </w:tabs>
    </w:pPr>
  </w:style>
  <w:style w:type="character" w:customStyle="1" w:styleId="PisMrk">
    <w:name w:val="Päis Märk"/>
    <w:basedOn w:val="Liguvaikefont"/>
    <w:link w:val="Pis"/>
    <w:uiPriority w:val="99"/>
    <w:locked/>
    <w:rsid w:val="0040500F"/>
    <w:rPr>
      <w:rFonts w:cs="Times New Roman"/>
      <w:lang w:val="en-US" w:eastAsia="en-US"/>
    </w:rPr>
  </w:style>
  <w:style w:type="paragraph" w:styleId="Normaallaadveeb">
    <w:name w:val="Normal (Web)"/>
    <w:basedOn w:val="Normaallaad"/>
    <w:link w:val="NormaallaadveebMrk"/>
    <w:uiPriority w:val="99"/>
    <w:rsid w:val="00642617"/>
    <w:pPr>
      <w:suppressAutoHyphens/>
      <w:spacing w:before="280" w:after="280"/>
    </w:pPr>
    <w:rPr>
      <w:rFonts w:ascii="Times New Roman" w:hAnsi="Times New Roman"/>
      <w:color w:val="000000"/>
      <w:lang w:val="et-EE" w:eastAsia="ar-SA"/>
    </w:rPr>
  </w:style>
  <w:style w:type="character" w:customStyle="1" w:styleId="JalusMrk8">
    <w:name w:val="Jalus Märk8"/>
    <w:link w:val="Jalus"/>
    <w:uiPriority w:val="99"/>
    <w:locked/>
    <w:rsid w:val="0040500F"/>
    <w:rPr>
      <w:lang w:val="en-US" w:eastAsia="en-US"/>
    </w:rPr>
  </w:style>
  <w:style w:type="character" w:customStyle="1" w:styleId="AllmrkusetekstMrk11">
    <w:name w:val="Allmärkuse tekst Märk11"/>
    <w:aliases w:val="Footnote Text Char1 Märk2,Footnote Text Char Char Char Char Märk2,Footnote Text Char Char Märk2,Footnote Text Char Char Char Char Char Märk2,Footnote Text Char Char Char Char Char Char Char Char Märk2"/>
    <w:uiPriority w:val="99"/>
    <w:rsid w:val="007453C5"/>
    <w:rPr>
      <w:rFonts w:ascii="Times New Roman" w:hAnsi="Times New Roman"/>
      <w:sz w:val="20"/>
      <w:lang w:val="x-none" w:eastAsia="et-EE"/>
    </w:rPr>
  </w:style>
  <w:style w:type="paragraph" w:styleId="Jalus">
    <w:name w:val="footer"/>
    <w:basedOn w:val="Normaallaad"/>
    <w:link w:val="JalusMrk8"/>
    <w:uiPriority w:val="99"/>
    <w:unhideWhenUsed/>
    <w:rsid w:val="0040500F"/>
    <w:pPr>
      <w:tabs>
        <w:tab w:val="center" w:pos="4536"/>
        <w:tab w:val="right" w:pos="9072"/>
      </w:tabs>
    </w:pPr>
  </w:style>
  <w:style w:type="character" w:customStyle="1" w:styleId="JalusMrk">
    <w:name w:val="Jalus Märk"/>
    <w:basedOn w:val="Liguvaikefont"/>
    <w:uiPriority w:val="99"/>
    <w:rPr>
      <w:rFonts w:cs="Times New Roman"/>
      <w:sz w:val="24"/>
      <w:szCs w:val="24"/>
      <w:lang w:val="en-US" w:eastAsia="en-US"/>
    </w:rPr>
  </w:style>
  <w:style w:type="character" w:customStyle="1" w:styleId="JalusMrk19">
    <w:name w:val="Jalus Märk19"/>
    <w:basedOn w:val="Liguvaikefont"/>
    <w:uiPriority w:val="99"/>
    <w:semiHidden/>
    <w:rPr>
      <w:rFonts w:cs="Times New Roman"/>
      <w:sz w:val="24"/>
      <w:szCs w:val="24"/>
      <w:lang w:val="en-US" w:eastAsia="en-US"/>
    </w:rPr>
  </w:style>
  <w:style w:type="character" w:customStyle="1" w:styleId="JalusMrk18">
    <w:name w:val="Jalus Märk18"/>
    <w:basedOn w:val="Liguvaikefont"/>
    <w:uiPriority w:val="99"/>
    <w:semiHidden/>
    <w:rPr>
      <w:rFonts w:cs="Times New Roman"/>
      <w:sz w:val="24"/>
      <w:szCs w:val="24"/>
      <w:lang w:val="en-US" w:eastAsia="en-US"/>
    </w:rPr>
  </w:style>
  <w:style w:type="character" w:customStyle="1" w:styleId="JalusMrk17">
    <w:name w:val="Jalus Märk17"/>
    <w:basedOn w:val="Liguvaikefont"/>
    <w:uiPriority w:val="99"/>
    <w:semiHidden/>
    <w:rPr>
      <w:rFonts w:cs="Times New Roman"/>
      <w:sz w:val="24"/>
      <w:szCs w:val="24"/>
      <w:lang w:val="en-US" w:eastAsia="en-US"/>
    </w:rPr>
  </w:style>
  <w:style w:type="character" w:customStyle="1" w:styleId="JalusMrk16">
    <w:name w:val="Jalus Märk16"/>
    <w:basedOn w:val="Liguvaikefont"/>
    <w:uiPriority w:val="99"/>
    <w:semiHidden/>
    <w:rPr>
      <w:rFonts w:cs="Times New Roman"/>
      <w:sz w:val="24"/>
      <w:szCs w:val="24"/>
      <w:lang w:val="en-US" w:eastAsia="en-US"/>
    </w:rPr>
  </w:style>
  <w:style w:type="character" w:customStyle="1" w:styleId="JalusMrk15">
    <w:name w:val="Jalus Märk15"/>
    <w:basedOn w:val="Liguvaikefont"/>
    <w:uiPriority w:val="99"/>
    <w:semiHidden/>
    <w:rPr>
      <w:rFonts w:cs="Times New Roman"/>
      <w:sz w:val="24"/>
      <w:szCs w:val="24"/>
      <w:lang w:val="en-US" w:eastAsia="en-US"/>
    </w:rPr>
  </w:style>
  <w:style w:type="character" w:customStyle="1" w:styleId="JalusMrk14">
    <w:name w:val="Jalus Märk14"/>
    <w:basedOn w:val="Liguvaikefont"/>
    <w:uiPriority w:val="99"/>
    <w:semiHidden/>
    <w:rPr>
      <w:rFonts w:cs="Times New Roman"/>
      <w:sz w:val="24"/>
      <w:szCs w:val="24"/>
      <w:lang w:val="en-US" w:eastAsia="en-US"/>
    </w:rPr>
  </w:style>
  <w:style w:type="character" w:customStyle="1" w:styleId="JalusMrk13">
    <w:name w:val="Jalus Märk13"/>
    <w:basedOn w:val="Liguvaikefont"/>
    <w:uiPriority w:val="99"/>
    <w:semiHidden/>
    <w:rPr>
      <w:rFonts w:cs="Times New Roman"/>
      <w:sz w:val="24"/>
      <w:szCs w:val="24"/>
      <w:lang w:val="en-US" w:eastAsia="en-US"/>
    </w:rPr>
  </w:style>
  <w:style w:type="character" w:customStyle="1" w:styleId="JalusMrk12">
    <w:name w:val="Jalus Märk12"/>
    <w:basedOn w:val="Liguvaikefont"/>
    <w:uiPriority w:val="99"/>
    <w:semiHidden/>
    <w:rPr>
      <w:rFonts w:cs="Times New Roman"/>
      <w:sz w:val="24"/>
      <w:szCs w:val="24"/>
      <w:lang w:val="en-US" w:eastAsia="en-US"/>
    </w:rPr>
  </w:style>
  <w:style w:type="character" w:customStyle="1" w:styleId="JalusMrk11">
    <w:name w:val="Jalus Märk11"/>
    <w:basedOn w:val="Liguvaikefont"/>
    <w:uiPriority w:val="99"/>
    <w:semiHidden/>
    <w:rPr>
      <w:rFonts w:cs="Times New Roman"/>
      <w:sz w:val="24"/>
      <w:szCs w:val="24"/>
      <w:lang w:val="en-US" w:eastAsia="en-US"/>
    </w:rPr>
  </w:style>
  <w:style w:type="character" w:customStyle="1" w:styleId="JalusMrk10">
    <w:name w:val="Jalus Märk10"/>
    <w:basedOn w:val="Liguvaikefont"/>
    <w:uiPriority w:val="99"/>
    <w:semiHidden/>
    <w:rPr>
      <w:rFonts w:cs="Times New Roman"/>
      <w:sz w:val="24"/>
      <w:szCs w:val="24"/>
      <w:lang w:val="en-US" w:eastAsia="en-US"/>
    </w:rPr>
  </w:style>
  <w:style w:type="character" w:customStyle="1" w:styleId="JalusMrk9">
    <w:name w:val="Jalus Märk9"/>
    <w:basedOn w:val="Liguvaikefont"/>
    <w:uiPriority w:val="99"/>
    <w:semiHidden/>
    <w:rPr>
      <w:rFonts w:cs="Times New Roman"/>
      <w:sz w:val="24"/>
      <w:szCs w:val="24"/>
      <w:lang w:val="en-US" w:eastAsia="en-US"/>
    </w:rPr>
  </w:style>
  <w:style w:type="character" w:customStyle="1" w:styleId="FooterChar">
    <w:name w:val="Footer Char"/>
    <w:basedOn w:val="Liguvaikefont"/>
    <w:uiPriority w:val="99"/>
    <w:semiHidden/>
    <w:rPr>
      <w:rFonts w:cs="Times New Roman"/>
      <w:sz w:val="24"/>
      <w:szCs w:val="24"/>
      <w:lang w:val="en-US" w:eastAsia="en-US"/>
    </w:rPr>
  </w:style>
  <w:style w:type="character" w:customStyle="1" w:styleId="JalusMrk5">
    <w:name w:val="Jalus Märk5"/>
    <w:basedOn w:val="Liguvaikefont"/>
    <w:uiPriority w:val="99"/>
    <w:semiHidden/>
    <w:rPr>
      <w:rFonts w:cs="Times New Roman"/>
      <w:sz w:val="24"/>
      <w:szCs w:val="24"/>
      <w:lang w:val="en-US" w:eastAsia="en-US"/>
    </w:rPr>
  </w:style>
  <w:style w:type="character" w:customStyle="1" w:styleId="JalusMrk7">
    <w:name w:val="Jalus Märk7"/>
    <w:basedOn w:val="Liguvaikefont"/>
    <w:uiPriority w:val="99"/>
    <w:semiHidden/>
    <w:rPr>
      <w:rFonts w:cs="Times New Roman"/>
      <w:sz w:val="24"/>
      <w:szCs w:val="24"/>
      <w:lang w:val="en-US" w:eastAsia="en-US"/>
    </w:rPr>
  </w:style>
  <w:style w:type="character" w:customStyle="1" w:styleId="JalusMrk6">
    <w:name w:val="Jalus Märk6"/>
    <w:uiPriority w:val="99"/>
    <w:rPr>
      <w:lang w:val="en-US" w:eastAsia="en-US"/>
    </w:rPr>
  </w:style>
  <w:style w:type="character" w:customStyle="1" w:styleId="FooterChar9">
    <w:name w:val="Footer Char9"/>
    <w:uiPriority w:val="99"/>
    <w:semiHidden/>
    <w:rPr>
      <w:lang w:val="en-US" w:eastAsia="en-US"/>
    </w:rPr>
  </w:style>
  <w:style w:type="character" w:customStyle="1" w:styleId="FooterChar15">
    <w:name w:val="Footer Char15"/>
    <w:uiPriority w:val="99"/>
    <w:semiHidden/>
    <w:rPr>
      <w:lang w:val="en-US" w:eastAsia="en-US"/>
    </w:rPr>
  </w:style>
  <w:style w:type="character" w:customStyle="1" w:styleId="FooterChar14">
    <w:name w:val="Footer Char14"/>
    <w:uiPriority w:val="99"/>
    <w:semiHidden/>
    <w:rPr>
      <w:lang w:val="en-US" w:eastAsia="en-US"/>
    </w:rPr>
  </w:style>
  <w:style w:type="character" w:customStyle="1" w:styleId="FooterChar13">
    <w:name w:val="Footer Char13"/>
    <w:uiPriority w:val="99"/>
    <w:semiHidden/>
    <w:rPr>
      <w:lang w:val="en-US" w:eastAsia="en-US"/>
    </w:rPr>
  </w:style>
  <w:style w:type="character" w:customStyle="1" w:styleId="FooterChar12">
    <w:name w:val="Footer Char12"/>
    <w:uiPriority w:val="99"/>
    <w:semiHidden/>
    <w:rPr>
      <w:lang w:val="en-US" w:eastAsia="en-US"/>
    </w:rPr>
  </w:style>
  <w:style w:type="character" w:customStyle="1" w:styleId="FooterChar11">
    <w:name w:val="Footer Char11"/>
    <w:uiPriority w:val="99"/>
    <w:semiHidden/>
    <w:rPr>
      <w:lang w:val="en-US" w:eastAsia="en-US"/>
    </w:rPr>
  </w:style>
  <w:style w:type="character" w:customStyle="1" w:styleId="FooterChar10">
    <w:name w:val="Footer Char10"/>
    <w:uiPriority w:val="99"/>
    <w:semiHidden/>
    <w:rPr>
      <w:lang w:val="en-US" w:eastAsia="en-US"/>
    </w:rPr>
  </w:style>
  <w:style w:type="character" w:customStyle="1" w:styleId="JalusMrk4">
    <w:name w:val="Jalus Märk4"/>
    <w:uiPriority w:val="99"/>
    <w:semiHidden/>
    <w:rPr>
      <w:lang w:val="en-US" w:eastAsia="en-US"/>
    </w:rPr>
  </w:style>
  <w:style w:type="character" w:customStyle="1" w:styleId="FooterChar5">
    <w:name w:val="Footer Char5"/>
    <w:uiPriority w:val="99"/>
    <w:semiHidden/>
    <w:rPr>
      <w:lang w:val="en-US" w:eastAsia="en-US"/>
    </w:rPr>
  </w:style>
  <w:style w:type="character" w:customStyle="1" w:styleId="FooterChar8">
    <w:name w:val="Footer Char8"/>
    <w:uiPriority w:val="99"/>
    <w:semiHidden/>
    <w:rPr>
      <w:lang w:val="en-US" w:eastAsia="en-US"/>
    </w:rPr>
  </w:style>
  <w:style w:type="character" w:customStyle="1" w:styleId="FooterChar7">
    <w:name w:val="Footer Char7"/>
    <w:uiPriority w:val="99"/>
    <w:rPr>
      <w:lang w:val="en-US" w:eastAsia="en-US"/>
    </w:rPr>
  </w:style>
  <w:style w:type="character" w:customStyle="1" w:styleId="FooterChar6">
    <w:name w:val="Footer Char6"/>
    <w:uiPriority w:val="99"/>
    <w:semiHidden/>
    <w:rPr>
      <w:lang w:val="en-US" w:eastAsia="en-US"/>
    </w:rPr>
  </w:style>
  <w:style w:type="character" w:customStyle="1" w:styleId="JalusMrk3">
    <w:name w:val="Jalus Märk3"/>
    <w:uiPriority w:val="99"/>
    <w:semiHidden/>
    <w:rPr>
      <w:lang w:val="en-US" w:eastAsia="en-US"/>
    </w:rPr>
  </w:style>
  <w:style w:type="character" w:customStyle="1" w:styleId="FooterChar4">
    <w:name w:val="Footer Char4"/>
    <w:uiPriority w:val="99"/>
    <w:semiHidden/>
    <w:rPr>
      <w:lang w:val="en-US" w:eastAsia="en-US"/>
    </w:rPr>
  </w:style>
  <w:style w:type="character" w:customStyle="1" w:styleId="JalusMrk1">
    <w:name w:val="Jalus Märk1"/>
    <w:uiPriority w:val="99"/>
    <w:semiHidden/>
    <w:rPr>
      <w:lang w:val="en-US" w:eastAsia="en-US"/>
    </w:rPr>
  </w:style>
  <w:style w:type="character" w:customStyle="1" w:styleId="JalusMrk2">
    <w:name w:val="Jalus Märk2"/>
    <w:uiPriority w:val="99"/>
    <w:semiHidden/>
    <w:rPr>
      <w:lang w:val="en-US" w:eastAsia="en-US"/>
    </w:rPr>
  </w:style>
  <w:style w:type="character" w:customStyle="1" w:styleId="FooterChar1">
    <w:name w:val="Footer Char1"/>
    <w:uiPriority w:val="99"/>
    <w:semiHidden/>
    <w:rPr>
      <w:lang w:val="en-US" w:eastAsia="en-US"/>
    </w:rPr>
  </w:style>
  <w:style w:type="character" w:customStyle="1" w:styleId="FooterChar3">
    <w:name w:val="Footer Char3"/>
    <w:uiPriority w:val="99"/>
    <w:semiHidden/>
    <w:rPr>
      <w:lang w:val="en-US" w:eastAsia="en-US"/>
    </w:rPr>
  </w:style>
  <w:style w:type="character" w:customStyle="1" w:styleId="FooterChar2">
    <w:name w:val="Footer Char2"/>
    <w:uiPriority w:val="99"/>
    <w:semiHidden/>
    <w:rPr>
      <w:lang w:val="en-US" w:eastAsia="en-US"/>
    </w:rPr>
  </w:style>
  <w:style w:type="character" w:customStyle="1" w:styleId="NormaallaadveebMrk">
    <w:name w:val="Normaallaad (veeb) Märk"/>
    <w:link w:val="Normaallaadveeb"/>
    <w:uiPriority w:val="99"/>
    <w:locked/>
    <w:rsid w:val="00642617"/>
    <w:rPr>
      <w:rFonts w:ascii="Times New Roman" w:hAnsi="Times New Roman"/>
      <w:color w:val="000000"/>
      <w:lang w:val="x-none" w:eastAsia="ar-SA" w:bidi="ar-SA"/>
    </w:rPr>
  </w:style>
  <w:style w:type="character" w:styleId="Tugev">
    <w:name w:val="Strong"/>
    <w:basedOn w:val="Liguvaikefont"/>
    <w:uiPriority w:val="22"/>
    <w:qFormat/>
    <w:rsid w:val="00642617"/>
    <w:rPr>
      <w:rFonts w:cs="Times New Roman"/>
      <w:b/>
    </w:rPr>
  </w:style>
  <w:style w:type="paragraph" w:styleId="Taandegakehatekst">
    <w:name w:val="Body Text Indent"/>
    <w:basedOn w:val="Normaallaad"/>
    <w:link w:val="TaandegakehatekstMrk"/>
    <w:uiPriority w:val="99"/>
    <w:unhideWhenUsed/>
    <w:rsid w:val="00404472"/>
    <w:pPr>
      <w:spacing w:after="120"/>
      <w:ind w:left="283"/>
    </w:pPr>
    <w:rPr>
      <w:rFonts w:ascii="Times New Roman" w:hAnsi="Times New Roman"/>
      <w:lang w:val="et-EE"/>
    </w:rPr>
  </w:style>
  <w:style w:type="character" w:customStyle="1" w:styleId="TaandegakehatekstMrk">
    <w:name w:val="Taandega kehatekst Märk"/>
    <w:basedOn w:val="Liguvaikefont"/>
    <w:link w:val="Taandegakehatekst"/>
    <w:uiPriority w:val="99"/>
    <w:locked/>
    <w:rsid w:val="00404472"/>
    <w:rPr>
      <w:rFonts w:ascii="Times New Roman" w:hAnsi="Times New Roman" w:cs="Times New Roman"/>
      <w:lang w:val="x-none" w:eastAsia="en-US"/>
    </w:rPr>
  </w:style>
  <w:style w:type="paragraph" w:customStyle="1" w:styleId="muutmisksk">
    <w:name w:val="muutmiskäsk"/>
    <w:basedOn w:val="Normaallaad"/>
    <w:qFormat/>
    <w:rsid w:val="00D72486"/>
    <w:pPr>
      <w:widowControl w:val="0"/>
      <w:autoSpaceDN w:val="0"/>
      <w:adjustRightInd w:val="0"/>
      <w:spacing w:before="240"/>
      <w:jc w:val="both"/>
    </w:pPr>
    <w:rPr>
      <w:rFonts w:ascii="Times New Roman" w:hAnsi="Times New Roman"/>
      <w:lang w:val="et-EE" w:eastAsia="et-EE"/>
    </w:rPr>
  </w:style>
  <w:style w:type="paragraph" w:customStyle="1" w:styleId="muudetavtekst">
    <w:name w:val="muudetav tekst"/>
    <w:basedOn w:val="Normaallaad"/>
    <w:uiPriority w:val="99"/>
    <w:qFormat/>
    <w:rsid w:val="009E5206"/>
    <w:pPr>
      <w:suppressAutoHyphens/>
      <w:autoSpaceDN w:val="0"/>
      <w:adjustRightInd w:val="0"/>
      <w:jc w:val="both"/>
    </w:pPr>
    <w:rPr>
      <w:rFonts w:ascii="Times New Roman" w:hAnsi="Times New Roman"/>
      <w:lang w:val="et-EE" w:eastAsia="et-EE"/>
    </w:rPr>
  </w:style>
  <w:style w:type="character" w:customStyle="1" w:styleId="mm">
    <w:name w:val="mm"/>
    <w:rsid w:val="00D72486"/>
  </w:style>
  <w:style w:type="paragraph" w:styleId="Redaktsioon">
    <w:name w:val="Revision"/>
    <w:hidden/>
    <w:uiPriority w:val="99"/>
    <w:semiHidden/>
    <w:rsid w:val="00EF0B81"/>
    <w:rPr>
      <w:rFonts w:cs="Times New Roman"/>
      <w:sz w:val="24"/>
      <w:szCs w:val="24"/>
      <w:lang w:val="en-US" w:eastAsia="en-US"/>
    </w:rPr>
  </w:style>
  <w:style w:type="character" w:customStyle="1" w:styleId="Lahendamatamainimine2">
    <w:name w:val="Lahendamata mainimine2"/>
    <w:basedOn w:val="Liguvaikefont"/>
    <w:uiPriority w:val="99"/>
    <w:semiHidden/>
    <w:unhideWhenUsed/>
    <w:rsid w:val="008456C5"/>
    <w:rPr>
      <w:color w:val="605E5C"/>
      <w:shd w:val="clear" w:color="auto" w:fill="E1DFDD"/>
    </w:rPr>
  </w:style>
  <w:style w:type="paragraph" w:customStyle="1" w:styleId="pealkiri">
    <w:name w:val="§_pealkiri"/>
    <w:basedOn w:val="Normaallaad"/>
    <w:qFormat/>
    <w:rsid w:val="00A74A3E"/>
    <w:pPr>
      <w:widowControl w:val="0"/>
      <w:autoSpaceDN w:val="0"/>
      <w:adjustRightInd w:val="0"/>
      <w:spacing w:before="240"/>
      <w:jc w:val="both"/>
    </w:pPr>
    <w:rPr>
      <w:rFonts w:ascii="Times New Roman" w:hAnsi="Times New Roman"/>
      <w:b/>
      <w:lang w:val="et-EE" w:eastAsia="et-EE"/>
    </w:rPr>
  </w:style>
  <w:style w:type="character" w:styleId="Lahendamatamainimine">
    <w:name w:val="Unresolved Mention"/>
    <w:basedOn w:val="Liguvaikefont"/>
    <w:uiPriority w:val="99"/>
    <w:semiHidden/>
    <w:unhideWhenUsed/>
    <w:rsid w:val="00747A59"/>
    <w:rPr>
      <w:color w:val="605E5C"/>
      <w:shd w:val="clear" w:color="auto" w:fill="E1DFDD"/>
    </w:rPr>
  </w:style>
  <w:style w:type="character" w:customStyle="1" w:styleId="tyhik">
    <w:name w:val="tyhik"/>
    <w:basedOn w:val="Liguvaikefont"/>
    <w:rsid w:val="00B35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8281">
      <w:bodyDiv w:val="1"/>
      <w:marLeft w:val="0"/>
      <w:marRight w:val="0"/>
      <w:marTop w:val="0"/>
      <w:marBottom w:val="0"/>
      <w:divBdr>
        <w:top w:val="none" w:sz="0" w:space="0" w:color="auto"/>
        <w:left w:val="none" w:sz="0" w:space="0" w:color="auto"/>
        <w:bottom w:val="none" w:sz="0" w:space="0" w:color="auto"/>
        <w:right w:val="none" w:sz="0" w:space="0" w:color="auto"/>
      </w:divBdr>
    </w:div>
    <w:div w:id="89855610">
      <w:bodyDiv w:val="1"/>
      <w:marLeft w:val="0"/>
      <w:marRight w:val="0"/>
      <w:marTop w:val="0"/>
      <w:marBottom w:val="0"/>
      <w:divBdr>
        <w:top w:val="none" w:sz="0" w:space="0" w:color="auto"/>
        <w:left w:val="none" w:sz="0" w:space="0" w:color="auto"/>
        <w:bottom w:val="none" w:sz="0" w:space="0" w:color="auto"/>
        <w:right w:val="none" w:sz="0" w:space="0" w:color="auto"/>
      </w:divBdr>
    </w:div>
    <w:div w:id="128791472">
      <w:bodyDiv w:val="1"/>
      <w:marLeft w:val="0"/>
      <w:marRight w:val="0"/>
      <w:marTop w:val="0"/>
      <w:marBottom w:val="0"/>
      <w:divBdr>
        <w:top w:val="none" w:sz="0" w:space="0" w:color="auto"/>
        <w:left w:val="none" w:sz="0" w:space="0" w:color="auto"/>
        <w:bottom w:val="none" w:sz="0" w:space="0" w:color="auto"/>
        <w:right w:val="none" w:sz="0" w:space="0" w:color="auto"/>
      </w:divBdr>
    </w:div>
    <w:div w:id="247008311">
      <w:bodyDiv w:val="1"/>
      <w:marLeft w:val="0"/>
      <w:marRight w:val="0"/>
      <w:marTop w:val="0"/>
      <w:marBottom w:val="0"/>
      <w:divBdr>
        <w:top w:val="none" w:sz="0" w:space="0" w:color="auto"/>
        <w:left w:val="none" w:sz="0" w:space="0" w:color="auto"/>
        <w:bottom w:val="none" w:sz="0" w:space="0" w:color="auto"/>
        <w:right w:val="none" w:sz="0" w:space="0" w:color="auto"/>
      </w:divBdr>
    </w:div>
    <w:div w:id="578296320">
      <w:bodyDiv w:val="1"/>
      <w:marLeft w:val="0"/>
      <w:marRight w:val="0"/>
      <w:marTop w:val="0"/>
      <w:marBottom w:val="0"/>
      <w:divBdr>
        <w:top w:val="none" w:sz="0" w:space="0" w:color="auto"/>
        <w:left w:val="none" w:sz="0" w:space="0" w:color="auto"/>
        <w:bottom w:val="none" w:sz="0" w:space="0" w:color="auto"/>
        <w:right w:val="none" w:sz="0" w:space="0" w:color="auto"/>
      </w:divBdr>
    </w:div>
    <w:div w:id="1042482981">
      <w:bodyDiv w:val="1"/>
      <w:marLeft w:val="0"/>
      <w:marRight w:val="0"/>
      <w:marTop w:val="0"/>
      <w:marBottom w:val="0"/>
      <w:divBdr>
        <w:top w:val="none" w:sz="0" w:space="0" w:color="auto"/>
        <w:left w:val="none" w:sz="0" w:space="0" w:color="auto"/>
        <w:bottom w:val="none" w:sz="0" w:space="0" w:color="auto"/>
        <w:right w:val="none" w:sz="0" w:space="0" w:color="auto"/>
      </w:divBdr>
    </w:div>
    <w:div w:id="1095133480">
      <w:bodyDiv w:val="1"/>
      <w:marLeft w:val="0"/>
      <w:marRight w:val="0"/>
      <w:marTop w:val="0"/>
      <w:marBottom w:val="0"/>
      <w:divBdr>
        <w:top w:val="none" w:sz="0" w:space="0" w:color="auto"/>
        <w:left w:val="none" w:sz="0" w:space="0" w:color="auto"/>
        <w:bottom w:val="none" w:sz="0" w:space="0" w:color="auto"/>
        <w:right w:val="none" w:sz="0" w:space="0" w:color="auto"/>
      </w:divBdr>
    </w:div>
    <w:div w:id="1509708217">
      <w:bodyDiv w:val="1"/>
      <w:marLeft w:val="0"/>
      <w:marRight w:val="0"/>
      <w:marTop w:val="0"/>
      <w:marBottom w:val="0"/>
      <w:divBdr>
        <w:top w:val="none" w:sz="0" w:space="0" w:color="auto"/>
        <w:left w:val="none" w:sz="0" w:space="0" w:color="auto"/>
        <w:bottom w:val="none" w:sz="0" w:space="0" w:color="auto"/>
        <w:right w:val="none" w:sz="0" w:space="0" w:color="auto"/>
      </w:divBdr>
    </w:div>
    <w:div w:id="1510875721">
      <w:bodyDiv w:val="1"/>
      <w:marLeft w:val="0"/>
      <w:marRight w:val="0"/>
      <w:marTop w:val="0"/>
      <w:marBottom w:val="0"/>
      <w:divBdr>
        <w:top w:val="none" w:sz="0" w:space="0" w:color="auto"/>
        <w:left w:val="none" w:sz="0" w:space="0" w:color="auto"/>
        <w:bottom w:val="none" w:sz="0" w:space="0" w:color="auto"/>
        <w:right w:val="none" w:sz="0" w:space="0" w:color="auto"/>
      </w:divBdr>
    </w:div>
    <w:div w:id="1527672658">
      <w:bodyDiv w:val="1"/>
      <w:marLeft w:val="0"/>
      <w:marRight w:val="0"/>
      <w:marTop w:val="0"/>
      <w:marBottom w:val="0"/>
      <w:divBdr>
        <w:top w:val="none" w:sz="0" w:space="0" w:color="auto"/>
        <w:left w:val="none" w:sz="0" w:space="0" w:color="auto"/>
        <w:bottom w:val="none" w:sz="0" w:space="0" w:color="auto"/>
        <w:right w:val="none" w:sz="0" w:space="0" w:color="auto"/>
      </w:divBdr>
    </w:div>
    <w:div w:id="1535995261">
      <w:marLeft w:val="0"/>
      <w:marRight w:val="0"/>
      <w:marTop w:val="0"/>
      <w:marBottom w:val="0"/>
      <w:divBdr>
        <w:top w:val="none" w:sz="0" w:space="0" w:color="auto"/>
        <w:left w:val="none" w:sz="0" w:space="0" w:color="auto"/>
        <w:bottom w:val="none" w:sz="0" w:space="0" w:color="auto"/>
        <w:right w:val="none" w:sz="0" w:space="0" w:color="auto"/>
      </w:divBdr>
    </w:div>
    <w:div w:id="1535995262">
      <w:marLeft w:val="0"/>
      <w:marRight w:val="0"/>
      <w:marTop w:val="0"/>
      <w:marBottom w:val="0"/>
      <w:divBdr>
        <w:top w:val="none" w:sz="0" w:space="0" w:color="auto"/>
        <w:left w:val="none" w:sz="0" w:space="0" w:color="auto"/>
        <w:bottom w:val="none" w:sz="0" w:space="0" w:color="auto"/>
        <w:right w:val="none" w:sz="0" w:space="0" w:color="auto"/>
      </w:divBdr>
    </w:div>
    <w:div w:id="1535995268">
      <w:marLeft w:val="0"/>
      <w:marRight w:val="0"/>
      <w:marTop w:val="0"/>
      <w:marBottom w:val="0"/>
      <w:divBdr>
        <w:top w:val="none" w:sz="0" w:space="0" w:color="auto"/>
        <w:left w:val="none" w:sz="0" w:space="0" w:color="auto"/>
        <w:bottom w:val="none" w:sz="0" w:space="0" w:color="auto"/>
        <w:right w:val="none" w:sz="0" w:space="0" w:color="auto"/>
      </w:divBdr>
      <w:divsChild>
        <w:div w:id="1535995267">
          <w:marLeft w:val="0"/>
          <w:marRight w:val="0"/>
          <w:marTop w:val="0"/>
          <w:marBottom w:val="0"/>
          <w:divBdr>
            <w:top w:val="none" w:sz="0" w:space="0" w:color="auto"/>
            <w:left w:val="none" w:sz="0" w:space="0" w:color="auto"/>
            <w:bottom w:val="none" w:sz="0" w:space="0" w:color="auto"/>
            <w:right w:val="none" w:sz="0" w:space="0" w:color="auto"/>
          </w:divBdr>
          <w:divsChild>
            <w:div w:id="1535995264">
              <w:marLeft w:val="0"/>
              <w:marRight w:val="0"/>
              <w:marTop w:val="0"/>
              <w:marBottom w:val="0"/>
              <w:divBdr>
                <w:top w:val="none" w:sz="0" w:space="0" w:color="auto"/>
                <w:left w:val="none" w:sz="0" w:space="0" w:color="auto"/>
                <w:bottom w:val="none" w:sz="0" w:space="0" w:color="auto"/>
                <w:right w:val="none" w:sz="0" w:space="0" w:color="auto"/>
              </w:divBdr>
              <w:divsChild>
                <w:div w:id="1535995265">
                  <w:marLeft w:val="0"/>
                  <w:marRight w:val="0"/>
                  <w:marTop w:val="0"/>
                  <w:marBottom w:val="0"/>
                  <w:divBdr>
                    <w:top w:val="none" w:sz="0" w:space="0" w:color="auto"/>
                    <w:left w:val="none" w:sz="0" w:space="0" w:color="auto"/>
                    <w:bottom w:val="none" w:sz="0" w:space="0" w:color="auto"/>
                    <w:right w:val="none" w:sz="0" w:space="0" w:color="auto"/>
                  </w:divBdr>
                  <w:divsChild>
                    <w:div w:id="15359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995272">
      <w:marLeft w:val="0"/>
      <w:marRight w:val="0"/>
      <w:marTop w:val="0"/>
      <w:marBottom w:val="0"/>
      <w:divBdr>
        <w:top w:val="none" w:sz="0" w:space="0" w:color="auto"/>
        <w:left w:val="none" w:sz="0" w:space="0" w:color="auto"/>
        <w:bottom w:val="none" w:sz="0" w:space="0" w:color="auto"/>
        <w:right w:val="none" w:sz="0" w:space="0" w:color="auto"/>
      </w:divBdr>
      <w:divsChild>
        <w:div w:id="1535995266">
          <w:marLeft w:val="0"/>
          <w:marRight w:val="0"/>
          <w:marTop w:val="0"/>
          <w:marBottom w:val="0"/>
          <w:divBdr>
            <w:top w:val="none" w:sz="0" w:space="0" w:color="auto"/>
            <w:left w:val="none" w:sz="0" w:space="0" w:color="auto"/>
            <w:bottom w:val="none" w:sz="0" w:space="0" w:color="auto"/>
            <w:right w:val="none" w:sz="0" w:space="0" w:color="auto"/>
          </w:divBdr>
          <w:divsChild>
            <w:div w:id="1535995271">
              <w:marLeft w:val="0"/>
              <w:marRight w:val="0"/>
              <w:marTop w:val="0"/>
              <w:marBottom w:val="0"/>
              <w:divBdr>
                <w:top w:val="none" w:sz="0" w:space="0" w:color="auto"/>
                <w:left w:val="none" w:sz="0" w:space="0" w:color="auto"/>
                <w:bottom w:val="none" w:sz="0" w:space="0" w:color="auto"/>
                <w:right w:val="none" w:sz="0" w:space="0" w:color="auto"/>
              </w:divBdr>
              <w:divsChild>
                <w:div w:id="1535995270">
                  <w:marLeft w:val="0"/>
                  <w:marRight w:val="0"/>
                  <w:marTop w:val="0"/>
                  <w:marBottom w:val="0"/>
                  <w:divBdr>
                    <w:top w:val="none" w:sz="0" w:space="0" w:color="auto"/>
                    <w:left w:val="none" w:sz="0" w:space="0" w:color="auto"/>
                    <w:bottom w:val="none" w:sz="0" w:space="0" w:color="auto"/>
                    <w:right w:val="none" w:sz="0" w:space="0" w:color="auto"/>
                  </w:divBdr>
                  <w:divsChild>
                    <w:div w:id="15359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995275">
      <w:marLeft w:val="0"/>
      <w:marRight w:val="0"/>
      <w:marTop w:val="0"/>
      <w:marBottom w:val="0"/>
      <w:divBdr>
        <w:top w:val="none" w:sz="0" w:space="0" w:color="auto"/>
        <w:left w:val="none" w:sz="0" w:space="0" w:color="auto"/>
        <w:bottom w:val="none" w:sz="0" w:space="0" w:color="auto"/>
        <w:right w:val="none" w:sz="0" w:space="0" w:color="auto"/>
      </w:divBdr>
    </w:div>
    <w:div w:id="1535995276">
      <w:marLeft w:val="0"/>
      <w:marRight w:val="0"/>
      <w:marTop w:val="0"/>
      <w:marBottom w:val="0"/>
      <w:divBdr>
        <w:top w:val="none" w:sz="0" w:space="0" w:color="auto"/>
        <w:left w:val="none" w:sz="0" w:space="0" w:color="auto"/>
        <w:bottom w:val="none" w:sz="0" w:space="0" w:color="auto"/>
        <w:right w:val="none" w:sz="0" w:space="0" w:color="auto"/>
      </w:divBdr>
    </w:div>
    <w:div w:id="1535995277">
      <w:marLeft w:val="0"/>
      <w:marRight w:val="0"/>
      <w:marTop w:val="0"/>
      <w:marBottom w:val="0"/>
      <w:divBdr>
        <w:top w:val="none" w:sz="0" w:space="0" w:color="auto"/>
        <w:left w:val="none" w:sz="0" w:space="0" w:color="auto"/>
        <w:bottom w:val="none" w:sz="0" w:space="0" w:color="auto"/>
        <w:right w:val="none" w:sz="0" w:space="0" w:color="auto"/>
      </w:divBdr>
    </w:div>
    <w:div w:id="1535995280">
      <w:marLeft w:val="0"/>
      <w:marRight w:val="0"/>
      <w:marTop w:val="0"/>
      <w:marBottom w:val="0"/>
      <w:divBdr>
        <w:top w:val="none" w:sz="0" w:space="0" w:color="auto"/>
        <w:left w:val="none" w:sz="0" w:space="0" w:color="auto"/>
        <w:bottom w:val="none" w:sz="0" w:space="0" w:color="auto"/>
        <w:right w:val="none" w:sz="0" w:space="0" w:color="auto"/>
      </w:divBdr>
      <w:divsChild>
        <w:div w:id="1535995279">
          <w:marLeft w:val="0"/>
          <w:marRight w:val="0"/>
          <w:marTop w:val="0"/>
          <w:marBottom w:val="0"/>
          <w:divBdr>
            <w:top w:val="none" w:sz="0" w:space="0" w:color="auto"/>
            <w:left w:val="none" w:sz="0" w:space="0" w:color="auto"/>
            <w:bottom w:val="none" w:sz="0" w:space="0" w:color="auto"/>
            <w:right w:val="none" w:sz="0" w:space="0" w:color="auto"/>
          </w:divBdr>
          <w:divsChild>
            <w:div w:id="1535995274">
              <w:marLeft w:val="0"/>
              <w:marRight w:val="0"/>
              <w:marTop w:val="0"/>
              <w:marBottom w:val="0"/>
              <w:divBdr>
                <w:top w:val="none" w:sz="0" w:space="0" w:color="auto"/>
                <w:left w:val="none" w:sz="0" w:space="0" w:color="auto"/>
                <w:bottom w:val="none" w:sz="0" w:space="0" w:color="auto"/>
                <w:right w:val="none" w:sz="0" w:space="0" w:color="auto"/>
              </w:divBdr>
              <w:divsChild>
                <w:div w:id="1535995273">
                  <w:marLeft w:val="0"/>
                  <w:marRight w:val="0"/>
                  <w:marTop w:val="0"/>
                  <w:marBottom w:val="0"/>
                  <w:divBdr>
                    <w:top w:val="none" w:sz="0" w:space="0" w:color="auto"/>
                    <w:left w:val="none" w:sz="0" w:space="0" w:color="auto"/>
                    <w:bottom w:val="none" w:sz="0" w:space="0" w:color="auto"/>
                    <w:right w:val="none" w:sz="0" w:space="0" w:color="auto"/>
                  </w:divBdr>
                  <w:divsChild>
                    <w:div w:id="15359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995281">
      <w:marLeft w:val="0"/>
      <w:marRight w:val="0"/>
      <w:marTop w:val="0"/>
      <w:marBottom w:val="0"/>
      <w:divBdr>
        <w:top w:val="none" w:sz="0" w:space="0" w:color="auto"/>
        <w:left w:val="none" w:sz="0" w:space="0" w:color="auto"/>
        <w:bottom w:val="none" w:sz="0" w:space="0" w:color="auto"/>
        <w:right w:val="none" w:sz="0" w:space="0" w:color="auto"/>
      </w:divBdr>
    </w:div>
    <w:div w:id="213316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marit.maidla@fin.e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ertu.fedotov@fin.e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sirje.lilover@fin.ee"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marge.kaskpeit@fin.e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ensionikeskus.ee/meist/isikuandmete-tootlem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FCC91-A65E-4BCC-9D06-66C19898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34</Pages>
  <Words>15284</Words>
  <Characters>110877</Characters>
  <Application>Microsoft Office Word</Application>
  <DocSecurity>0</DocSecurity>
  <Lines>923</Lines>
  <Paragraphs>251</Paragraphs>
  <ScaleCrop>false</ScaleCrop>
  <HeadingPairs>
    <vt:vector size="2" baseType="variant">
      <vt:variant>
        <vt:lpstr>Pealkiri</vt:lpstr>
      </vt:variant>
      <vt:variant>
        <vt:i4>1</vt:i4>
      </vt:variant>
    </vt:vector>
  </HeadingPairs>
  <TitlesOfParts>
    <vt:vector size="1" baseType="lpstr">
      <vt:lpstr/>
    </vt:vector>
  </TitlesOfParts>
  <Company>Rahandusministeerium</Company>
  <LinksUpToDate>false</LinksUpToDate>
  <CharactersWithSpaces>125910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Lavrova</dc:creator>
  <cp:keywords/>
  <dc:description/>
  <cp:lastModifiedBy>Iivika Sale</cp:lastModifiedBy>
  <cp:revision>4</cp:revision>
  <cp:lastPrinted>2024-01-19T11:46:00Z</cp:lastPrinted>
  <dcterms:created xsi:type="dcterms:W3CDTF">2024-05-27T06:44:00Z</dcterms:created>
  <dcterms:modified xsi:type="dcterms:W3CDTF">2024-06-06T10:05:00Z</dcterms:modified>
</cp:coreProperties>
</file>